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7EA9" w14:textId="38BA69C7" w:rsidR="00D745A2" w:rsidRPr="0032057F" w:rsidRDefault="00A43A9E" w:rsidP="00731107">
      <w:pPr>
        <w:rPr>
          <w:rFonts w:ascii="Arial Black" w:hAnsi="Arial Black"/>
          <w:b/>
          <w:bCs/>
          <w:sz w:val="16"/>
          <w:szCs w:val="16"/>
        </w:rPr>
      </w:pPr>
      <w:r>
        <w:rPr>
          <w:noProof/>
        </w:rPr>
        <w:drawing>
          <wp:anchor distT="0" distB="0" distL="114300" distR="114300" simplePos="0" relativeHeight="251660288" behindDoc="0" locked="0" layoutInCell="1" allowOverlap="1" wp14:anchorId="71702D76" wp14:editId="6F448AB2">
            <wp:simplePos x="0" y="0"/>
            <wp:positionH relativeFrom="column">
              <wp:posOffset>5158740</wp:posOffset>
            </wp:positionH>
            <wp:positionV relativeFrom="paragraph">
              <wp:posOffset>13970</wp:posOffset>
            </wp:positionV>
            <wp:extent cx="937260" cy="800100"/>
            <wp:effectExtent l="0" t="0" r="0" b="0"/>
            <wp:wrapNone/>
            <wp:docPr id="2" name="Picture 2" descr="newstp"/>
            <wp:cNvGraphicFramePr/>
            <a:graphic xmlns:a="http://schemas.openxmlformats.org/drawingml/2006/main">
              <a:graphicData uri="http://schemas.openxmlformats.org/drawingml/2006/picture">
                <pic:pic xmlns:pic="http://schemas.openxmlformats.org/drawingml/2006/picture">
                  <pic:nvPicPr>
                    <pic:cNvPr id="1" name="Picture 1" descr="newstp"/>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26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703E8" w14:textId="7AA86473" w:rsidR="00731107" w:rsidRPr="00F14B22" w:rsidRDefault="00731107" w:rsidP="00731107">
      <w:pPr>
        <w:rPr>
          <w:rFonts w:ascii="Arial Black" w:hAnsi="Arial Black"/>
          <w:sz w:val="24"/>
          <w:szCs w:val="24"/>
        </w:rPr>
      </w:pPr>
      <w:r w:rsidRPr="00F14B22">
        <w:rPr>
          <w:rFonts w:ascii="Arial Black" w:hAnsi="Arial Black"/>
          <w:b/>
          <w:bCs/>
          <w:sz w:val="24"/>
          <w:szCs w:val="24"/>
        </w:rPr>
        <w:t xml:space="preserve">TEMPORARY EMPLOYEE POLICY AND PROCEDURES </w:t>
      </w:r>
    </w:p>
    <w:p w14:paraId="462DB6EB" w14:textId="512C7A37" w:rsidR="00731107" w:rsidRPr="00F14B22" w:rsidRDefault="00731107" w:rsidP="00731107">
      <w:pPr>
        <w:rPr>
          <w:rFonts w:ascii="Arial Black" w:hAnsi="Arial Black"/>
          <w:color w:val="4472C4" w:themeColor="accent1"/>
          <w:sz w:val="24"/>
          <w:szCs w:val="24"/>
        </w:rPr>
      </w:pPr>
      <w:r w:rsidRPr="00F14B22">
        <w:rPr>
          <w:rFonts w:ascii="Arial Black" w:hAnsi="Arial Black"/>
          <w:b/>
          <w:bCs/>
          <w:color w:val="4472C4" w:themeColor="accent1"/>
          <w:sz w:val="24"/>
          <w:szCs w:val="24"/>
        </w:rPr>
        <w:t xml:space="preserve">Policy </w:t>
      </w:r>
    </w:p>
    <w:p w14:paraId="62CF34D4" w14:textId="1573D84D" w:rsidR="00731107" w:rsidRPr="00B23ED0" w:rsidRDefault="00731107" w:rsidP="00731107">
      <w:r w:rsidRPr="005F656D">
        <w:t xml:space="preserve">Departments and Offices </w:t>
      </w:r>
      <w:r w:rsidR="00BF2EA9" w:rsidRPr="005F656D">
        <w:t xml:space="preserve">may </w:t>
      </w:r>
      <w:r w:rsidRPr="005F656D">
        <w:t xml:space="preserve">make temporary appointments to fill non-permanent, short-term vacancies that arise due to </w:t>
      </w:r>
      <w:proofErr w:type="gramStart"/>
      <w:r w:rsidRPr="005F656D">
        <w:t>an emergency situation</w:t>
      </w:r>
      <w:proofErr w:type="gramEnd"/>
      <w:r w:rsidRPr="005F656D">
        <w:t xml:space="preserve">, cyclical work, </w:t>
      </w:r>
      <w:r w:rsidR="00E661C6" w:rsidRPr="005F656D">
        <w:t xml:space="preserve">an immediate need in the absence of an eligible list, </w:t>
      </w:r>
      <w:r w:rsidRPr="005F656D">
        <w:t>or t</w:t>
      </w:r>
      <w:r w:rsidR="00E661C6" w:rsidRPr="005F656D">
        <w:t xml:space="preserve">o backfill </w:t>
      </w:r>
      <w:r w:rsidR="005F656D">
        <w:t xml:space="preserve">for a leave of absence of </w:t>
      </w:r>
      <w:r w:rsidRPr="005F656D">
        <w:t>a certified employee.</w:t>
      </w:r>
      <w:r w:rsidRPr="00731107">
        <w:t xml:space="preserve"> </w:t>
      </w:r>
      <w:hyperlink r:id="rId8" w:history="1">
        <w:r w:rsidR="009F5A47" w:rsidRPr="009F5A47">
          <w:rPr>
            <w:rStyle w:val="Hyperlink"/>
          </w:rPr>
          <w:t>Civil Service Rule 12</w:t>
        </w:r>
      </w:hyperlink>
      <w:r w:rsidR="009F5A47">
        <w:rPr>
          <w:color w:val="4472C4" w:themeColor="accent1"/>
        </w:rPr>
        <w:t xml:space="preserve"> </w:t>
      </w:r>
      <w:r w:rsidR="009F5A47" w:rsidRPr="00B23ED0">
        <w:t xml:space="preserve">does </w:t>
      </w:r>
      <w:r w:rsidR="009F5A47" w:rsidRPr="006A6233">
        <w:t>not</w:t>
      </w:r>
      <w:r w:rsidR="00D35087" w:rsidRPr="006A6233">
        <w:t xml:space="preserve"> permit</w:t>
      </w:r>
      <w:r w:rsidR="009F5A47" w:rsidRPr="006A6233">
        <w:t xml:space="preserve"> temporary employ</w:t>
      </w:r>
      <w:r w:rsidR="00D56D92" w:rsidRPr="006A6233">
        <w:t>ees to work</w:t>
      </w:r>
      <w:r w:rsidR="00FD4A68" w:rsidRPr="006A6233">
        <w:t xml:space="preserve"> </w:t>
      </w:r>
      <w:proofErr w:type="gramStart"/>
      <w:r w:rsidR="009F5A47" w:rsidRPr="006A6233">
        <w:t>in excess</w:t>
      </w:r>
      <w:r w:rsidR="00D35087" w:rsidRPr="006A6233">
        <w:t xml:space="preserve"> of</w:t>
      </w:r>
      <w:proofErr w:type="gramEnd"/>
      <w:r w:rsidR="00FC6A77" w:rsidRPr="006A6233">
        <w:t xml:space="preserve"> </w:t>
      </w:r>
      <w:r w:rsidR="009F5A47" w:rsidRPr="006A6233">
        <w:t>1040 hours</w:t>
      </w:r>
      <w:r w:rsidR="00F80691" w:rsidRPr="006A6233">
        <w:t xml:space="preserve"> within any fiscal year</w:t>
      </w:r>
      <w:r w:rsidR="009F5A47" w:rsidRPr="006A6233">
        <w:t xml:space="preserve"> unless the HR Director has approved an extension</w:t>
      </w:r>
      <w:r w:rsidR="009F5A47" w:rsidRPr="00B355E5">
        <w:t xml:space="preserve">. </w:t>
      </w:r>
      <w:r w:rsidR="008F6805" w:rsidRPr="00B355E5">
        <w:t xml:space="preserve"> Trades (Unclassified/Represented) positions and Unclassified Non-Represented group positions are exempt from this policy.  </w:t>
      </w:r>
      <w:r w:rsidRPr="00B355E5">
        <w:t>The City of Saint Paul is an Affirmative Action Equal Opportunity Employer</w:t>
      </w:r>
      <w:r w:rsidR="003B0A55" w:rsidRPr="00B355E5">
        <w:t xml:space="preserve"> who values</w:t>
      </w:r>
      <w:r w:rsidRPr="00B355E5">
        <w:t xml:space="preserve"> a diverse workforce</w:t>
      </w:r>
      <w:r w:rsidR="0033582F" w:rsidRPr="00B355E5">
        <w:t xml:space="preserve"> that</w:t>
      </w:r>
      <w:r w:rsidR="0033582F" w:rsidRPr="00B23ED0">
        <w:t xml:space="preserve"> represents the City of Saint Paul.</w:t>
      </w:r>
    </w:p>
    <w:p w14:paraId="1971D755" w14:textId="530031EE" w:rsidR="003B0F0E" w:rsidRDefault="003B0F0E" w:rsidP="003B0F0E">
      <w:bookmarkStart w:id="0" w:name="_Hlk51093029"/>
      <w:r w:rsidRPr="00667919">
        <w:rPr>
          <w:b/>
          <w:bCs/>
        </w:rPr>
        <w:t xml:space="preserve">MN Statute 179A.03 </w:t>
      </w:r>
      <w:bookmarkEnd w:id="0"/>
      <w:r w:rsidRPr="00667919">
        <w:rPr>
          <w:b/>
          <w:bCs/>
        </w:rPr>
        <w:t>Definition of a Public Employee:</w:t>
      </w:r>
      <w:r>
        <w:t xml:space="preserve"> See statute for details. In summary, a public employee works more than 67 days a year or 100 days a year when under the age of 22 and a fulltime student, or works more than 14 hours per week. </w:t>
      </w:r>
    </w:p>
    <w:p w14:paraId="23E901E8" w14:textId="05A4C2DA" w:rsidR="00625156" w:rsidRPr="005A3CFC" w:rsidRDefault="00625156" w:rsidP="00625156">
      <w:pPr>
        <w:rPr>
          <w:color w:val="FF0000"/>
        </w:rPr>
      </w:pPr>
      <w:r w:rsidRPr="00706116">
        <w:rPr>
          <w:b/>
          <w:bCs/>
        </w:rPr>
        <w:t xml:space="preserve">Earned </w:t>
      </w:r>
      <w:r>
        <w:rPr>
          <w:b/>
          <w:bCs/>
        </w:rPr>
        <w:t>S</w:t>
      </w:r>
      <w:r w:rsidRPr="00706116">
        <w:rPr>
          <w:b/>
          <w:bCs/>
        </w:rPr>
        <w:t xml:space="preserve">ick and </w:t>
      </w:r>
      <w:r>
        <w:rPr>
          <w:b/>
          <w:bCs/>
        </w:rPr>
        <w:t>S</w:t>
      </w:r>
      <w:r w:rsidRPr="00706116">
        <w:rPr>
          <w:b/>
          <w:bCs/>
        </w:rPr>
        <w:t xml:space="preserve">afe </w:t>
      </w:r>
      <w:r>
        <w:rPr>
          <w:b/>
          <w:bCs/>
        </w:rPr>
        <w:t>T</w:t>
      </w:r>
      <w:r w:rsidRPr="00706116">
        <w:rPr>
          <w:b/>
          <w:bCs/>
        </w:rPr>
        <w:t>ime:</w:t>
      </w:r>
      <w:r>
        <w:t xml:space="preserve"> </w:t>
      </w:r>
      <w:r w:rsidRPr="003F5241">
        <w:t>Temporary employees are eligible for earned s</w:t>
      </w:r>
      <w:r>
        <w:t>ick and s</w:t>
      </w:r>
      <w:r w:rsidRPr="003F5241">
        <w:t>afe time</w:t>
      </w:r>
      <w:r w:rsidRPr="005A3CFC">
        <w:rPr>
          <w:color w:val="FF0000"/>
        </w:rPr>
        <w:t xml:space="preserve">. </w:t>
      </w:r>
      <w:r w:rsidR="005A3CFC" w:rsidRPr="00D76642">
        <w:t xml:space="preserve">Independent Contractors, employees covered by a Trades collective bargaining agreement, and Tri-Council Highway Heavy temporary employees are excluded from this policy.  </w:t>
      </w:r>
      <w:r w:rsidRPr="003F5241">
        <w:t>See policy.</w:t>
      </w:r>
      <w:r w:rsidR="005A3CFC">
        <w:t xml:space="preserve"> </w:t>
      </w:r>
    </w:p>
    <w:p w14:paraId="329E3594" w14:textId="5758A72C" w:rsidR="003B0F0E" w:rsidRPr="009F1EFB" w:rsidRDefault="003B0F0E" w:rsidP="003B0F0E">
      <w:pPr>
        <w:rPr>
          <w:sz w:val="24"/>
          <w:szCs w:val="24"/>
        </w:rPr>
      </w:pPr>
      <w:r>
        <w:rPr>
          <w:b/>
          <w:bCs/>
        </w:rPr>
        <w:t>Affordable Care Act</w:t>
      </w:r>
      <w:r w:rsidRPr="003B0F0E">
        <w:rPr>
          <w:b/>
          <w:bCs/>
        </w:rPr>
        <w:t xml:space="preserve">: </w:t>
      </w:r>
      <w:r w:rsidRPr="003F5241">
        <w:rPr>
          <w:noProof/>
        </w:rPr>
        <w:t xml:space="preserve">Only non-seasonal temporary employees expected to work 30 hours a week or more are eligible for health insurance under the Affordable Care Act. Contact </w:t>
      </w:r>
      <w:r>
        <w:rPr>
          <w:noProof/>
        </w:rPr>
        <w:t xml:space="preserve">Benefits at </w:t>
      </w:r>
      <w:r w:rsidRPr="003F5241">
        <w:rPr>
          <w:noProof/>
        </w:rPr>
        <w:t>651-266-6492</w:t>
      </w:r>
      <w:r w:rsidRPr="003F5241">
        <w:rPr>
          <w:b/>
          <w:bCs/>
          <w:noProof/>
        </w:rPr>
        <w:t xml:space="preserve"> </w:t>
      </w:r>
      <w:r w:rsidRPr="009F1EFB">
        <w:rPr>
          <w:noProof/>
        </w:rPr>
        <w:t xml:space="preserve">or 651-266-6500 if you have questions.  </w:t>
      </w:r>
    </w:p>
    <w:p w14:paraId="59A1411A" w14:textId="6F512747" w:rsidR="00930D06" w:rsidRPr="00D12055" w:rsidRDefault="00930D06" w:rsidP="00930D06">
      <w:r w:rsidRPr="00B23ED0">
        <w:t xml:space="preserve">See companion document: </w:t>
      </w:r>
      <w:r w:rsidRPr="00B23ED0">
        <w:rPr>
          <w:b/>
          <w:bCs/>
          <w:i/>
          <w:iCs/>
        </w:rPr>
        <w:t>Temporary Employment Employee Acknowledgement Form</w:t>
      </w:r>
      <w:r w:rsidRPr="00B23ED0">
        <w:t xml:space="preserve"> within the </w:t>
      </w:r>
      <w:hyperlink r:id="rId9" w:history="1">
        <w:hyperlink r:id="rId10" w:tgtFrame="_blank" w:tooltip="https://stpaulmn.sharepoint.com/sites/TheLanding/Forms/HR%20Forms/New%20Employee%20Packet.pdf" w:history="1">
          <w:r w:rsidR="006078DE" w:rsidRPr="00DC6EE9">
            <w:rPr>
              <w:color w:val="0000FF"/>
              <w:u w:val="single"/>
            </w:rPr>
            <w:t>New Employee Packet</w:t>
          </w:r>
        </w:hyperlink>
        <w:r>
          <w:rPr>
            <w:rStyle w:val="Hyperlink"/>
          </w:rPr>
          <w:t xml:space="preserve"> </w:t>
        </w:r>
      </w:hyperlink>
      <w:r w:rsidRPr="00B23ED0">
        <w:t>to be signed by temporary employees.</w:t>
      </w:r>
    </w:p>
    <w:p w14:paraId="6F17570F" w14:textId="523AF86D" w:rsidR="00D12055" w:rsidRPr="00C07B73" w:rsidRDefault="00413E8A" w:rsidP="00D12055">
      <w:pPr>
        <w:rPr>
          <w:b/>
          <w:bCs/>
          <w:sz w:val="24"/>
          <w:szCs w:val="24"/>
        </w:rPr>
      </w:pPr>
      <w:r w:rsidRPr="00B23ED0">
        <w:rPr>
          <w:b/>
          <w:bCs/>
          <w:sz w:val="24"/>
          <w:szCs w:val="24"/>
        </w:rPr>
        <w:t>Temporary Employment is further defined in the following:</w:t>
      </w:r>
      <w:bookmarkStart w:id="1" w:name="_Hlk40702338"/>
      <w:r w:rsidR="00C07B73">
        <w:rPr>
          <w:b/>
          <w:bCs/>
          <w:sz w:val="24"/>
          <w:szCs w:val="24"/>
        </w:rPr>
        <w:t xml:space="preserve">  </w:t>
      </w:r>
      <w:r w:rsidR="00D12055" w:rsidRPr="00B23ED0">
        <w:t>Civil Service Rule 12</w:t>
      </w:r>
      <w:bookmarkEnd w:id="1"/>
      <w:r w:rsidR="00D12055" w:rsidRPr="00B23ED0">
        <w:t xml:space="preserve">, </w:t>
      </w:r>
      <w:bookmarkStart w:id="2" w:name="_Hlk51056547"/>
      <w:r w:rsidR="00D12055" w:rsidRPr="00B23ED0">
        <w:t>MN Statute 179A.03 Definition of a Public Employee</w:t>
      </w:r>
      <w:bookmarkEnd w:id="2"/>
      <w:r w:rsidR="00D12055" w:rsidRPr="00B23ED0">
        <w:t xml:space="preserve">, Earn Sick and Safe Time (ESST) policy, Collective Bargaining Agreements, PERA, and Phased Retirement Options Information. </w:t>
      </w:r>
    </w:p>
    <w:p w14:paraId="09F8D6DE" w14:textId="77777777" w:rsidR="00731107" w:rsidRPr="005F656D" w:rsidRDefault="00731107" w:rsidP="00731107">
      <w:pPr>
        <w:rPr>
          <w:rFonts w:ascii="Arial Black" w:hAnsi="Arial Black"/>
          <w:sz w:val="24"/>
          <w:szCs w:val="24"/>
        </w:rPr>
      </w:pPr>
      <w:bookmarkStart w:id="3" w:name="_Hlk49775133"/>
      <w:r w:rsidRPr="00F14B22">
        <w:rPr>
          <w:rFonts w:ascii="Arial Black" w:hAnsi="Arial Black"/>
          <w:b/>
          <w:bCs/>
          <w:color w:val="4472C4" w:themeColor="accent1"/>
          <w:sz w:val="24"/>
          <w:szCs w:val="24"/>
        </w:rPr>
        <w:t xml:space="preserve">Procedure </w:t>
      </w:r>
    </w:p>
    <w:p w14:paraId="44F6EDDB" w14:textId="2D28FEDD" w:rsidR="006666C9" w:rsidRPr="0032057F" w:rsidRDefault="006666C9" w:rsidP="006666C9">
      <w:r w:rsidRPr="00647D4F">
        <w:rPr>
          <w:b/>
          <w:bCs/>
        </w:rPr>
        <w:t>Requisition</w:t>
      </w:r>
      <w:r w:rsidR="00D856CA" w:rsidRPr="00647D4F">
        <w:rPr>
          <w:b/>
          <w:bCs/>
        </w:rPr>
        <w:t>/Hiring Process</w:t>
      </w:r>
      <w:r w:rsidRPr="00647D4F">
        <w:rPr>
          <w:b/>
          <w:bCs/>
        </w:rPr>
        <w:t>:</w:t>
      </w:r>
      <w:r w:rsidRPr="00647D4F">
        <w:t xml:space="preserve"> Follow</w:t>
      </w:r>
      <w:r w:rsidRPr="0032057F">
        <w:t xml:space="preserve"> the </w:t>
      </w:r>
      <w:r w:rsidR="005F656D">
        <w:t xml:space="preserve">steps </w:t>
      </w:r>
      <w:r w:rsidRPr="0032057F">
        <w:t xml:space="preserve">below and contact your Human Resources </w:t>
      </w:r>
      <w:r w:rsidR="005F656D">
        <w:t>C</w:t>
      </w:r>
      <w:r w:rsidRPr="0032057F">
        <w:t xml:space="preserve">onsultant to discuss </w:t>
      </w:r>
      <w:r w:rsidR="005F656D">
        <w:t xml:space="preserve">options for filling the temporary position. </w:t>
      </w:r>
      <w:r w:rsidRPr="0032057F">
        <w:t>If an eligible list is available, the Office of Human Resources can provide you with names of those interested in temporary employment</w:t>
      </w:r>
      <w:r w:rsidR="005F656D">
        <w:t>, post the position online,</w:t>
      </w:r>
      <w:r w:rsidRPr="0032057F">
        <w:t xml:space="preserve"> or refer you to a contracted temporary agency, if needed. Complete the following for a temporary hire:</w:t>
      </w:r>
    </w:p>
    <w:p w14:paraId="500FC885" w14:textId="18C63715" w:rsidR="006666C9" w:rsidRPr="0032057F" w:rsidRDefault="006666C9" w:rsidP="006666C9">
      <w:pPr>
        <w:numPr>
          <w:ilvl w:val="0"/>
          <w:numId w:val="10"/>
        </w:numPr>
      </w:pPr>
      <w:r w:rsidRPr="0032057F">
        <w:t xml:space="preserve">Submit and get Infor </w:t>
      </w:r>
      <w:r w:rsidR="00647D4F">
        <w:t>r</w:t>
      </w:r>
      <w:r w:rsidRPr="0032057F">
        <w:t>equisition approval</w:t>
      </w:r>
      <w:r w:rsidR="009F1509" w:rsidRPr="0032057F">
        <w:t xml:space="preserve">, follow hiring best practices, </w:t>
      </w:r>
      <w:r w:rsidR="005F656D">
        <w:t xml:space="preserve">complete an offer letter, ensure pre-employment checks are complete, and </w:t>
      </w:r>
      <w:r w:rsidR="009F1509" w:rsidRPr="0032057F">
        <w:t>onboard new employee.</w:t>
      </w:r>
    </w:p>
    <w:p w14:paraId="088C679E" w14:textId="73C38DB9" w:rsidR="006666C9" w:rsidRPr="007F009A" w:rsidRDefault="0032057F" w:rsidP="006666C9">
      <w:pPr>
        <w:numPr>
          <w:ilvl w:val="0"/>
          <w:numId w:val="10"/>
        </w:numPr>
        <w:rPr>
          <w:color w:val="44546A" w:themeColor="text2"/>
        </w:rPr>
      </w:pPr>
      <w:bookmarkStart w:id="4" w:name="_Hlk56094747"/>
      <w:r w:rsidRPr="007F009A">
        <w:rPr>
          <w:b/>
          <w:bCs/>
        </w:rPr>
        <w:t>New Employees:</w:t>
      </w:r>
      <w:r w:rsidRPr="007F009A">
        <w:t xml:space="preserve"> </w:t>
      </w:r>
      <w:r w:rsidR="006666C9" w:rsidRPr="007F009A">
        <w:t>Complete the </w:t>
      </w:r>
      <w:hyperlink r:id="rId11" w:tgtFrame="_blank" w:tooltip="https://stpaulmn.sharepoint.com/sites/TheLanding/Forms/HR%20Forms/New%20Employee%20Packet.pdf" w:history="1">
        <w:r w:rsidR="00DC6EE9" w:rsidRPr="007F009A">
          <w:rPr>
            <w:color w:val="0000FF"/>
            <w:u w:val="single"/>
          </w:rPr>
          <w:t>New Employee Packet</w:t>
        </w:r>
      </w:hyperlink>
      <w:r w:rsidR="006666C9" w:rsidRPr="007F009A">
        <w:rPr>
          <w:color w:val="4472C4" w:themeColor="accent1"/>
        </w:rPr>
        <w:t> </w:t>
      </w:r>
      <w:r w:rsidR="006666C9" w:rsidRPr="007F009A">
        <w:t>to include the Temporary Employment Information Form, review the City of Saint Paul Earned Sick and Safe Time Policy, and complet</w:t>
      </w:r>
      <w:r w:rsidR="005F656D" w:rsidRPr="007F009A">
        <w:t>e</w:t>
      </w:r>
      <w:r w:rsidR="006666C9" w:rsidRPr="007F009A">
        <w:t xml:space="preserve"> the City of </w:t>
      </w:r>
      <w:r w:rsidR="006666C9" w:rsidRPr="007F009A">
        <w:rPr>
          <w:color w:val="000000" w:themeColor="text1"/>
        </w:rPr>
        <w:t xml:space="preserve">Saint Paul Earned Safe and Sick Time Policy Acknowledgement Form. </w:t>
      </w:r>
      <w:r w:rsidR="003F5241" w:rsidRPr="007F009A">
        <w:rPr>
          <w:color w:val="000000" w:themeColor="text1"/>
        </w:rPr>
        <w:t xml:space="preserve">Complete the </w:t>
      </w:r>
      <w:bookmarkStart w:id="5" w:name="_Hlk50996411"/>
      <w:r w:rsidR="003F5241" w:rsidRPr="007F009A">
        <w:t xml:space="preserve">Employee </w:t>
      </w:r>
      <w:r w:rsidR="00144E67" w:rsidRPr="007F009A">
        <w:t xml:space="preserve">Wage Notification form. </w:t>
      </w:r>
      <w:r w:rsidR="00920AA2" w:rsidRPr="007F009A">
        <w:t>E</w:t>
      </w:r>
      <w:r w:rsidR="006666C9" w:rsidRPr="007F009A">
        <w:t xml:space="preserve">nsure </w:t>
      </w:r>
      <w:r w:rsidR="003F5241" w:rsidRPr="007F009A">
        <w:t xml:space="preserve">supervisor </w:t>
      </w:r>
      <w:bookmarkEnd w:id="5"/>
      <w:r w:rsidR="003F5241" w:rsidRPr="007F009A">
        <w:rPr>
          <w:color w:val="000000" w:themeColor="text1"/>
        </w:rPr>
        <w:t xml:space="preserve">and </w:t>
      </w:r>
      <w:r w:rsidR="006666C9" w:rsidRPr="007F009A">
        <w:rPr>
          <w:color w:val="000000" w:themeColor="text1"/>
        </w:rPr>
        <w:t>employee understand the</w:t>
      </w:r>
      <w:r w:rsidR="00706116" w:rsidRPr="007F009A">
        <w:rPr>
          <w:color w:val="000000" w:themeColor="text1"/>
        </w:rPr>
        <w:t xml:space="preserve"> documents in the packet</w:t>
      </w:r>
      <w:r w:rsidR="006666C9" w:rsidRPr="007F009A">
        <w:rPr>
          <w:color w:val="000000" w:themeColor="text1"/>
        </w:rPr>
        <w:t xml:space="preserve"> and </w:t>
      </w:r>
      <w:r w:rsidR="00144E67" w:rsidRPr="007F009A">
        <w:rPr>
          <w:color w:val="000000" w:themeColor="text1"/>
        </w:rPr>
        <w:t xml:space="preserve">the employee </w:t>
      </w:r>
      <w:r w:rsidR="006666C9" w:rsidRPr="007F009A">
        <w:rPr>
          <w:color w:val="000000" w:themeColor="text1"/>
        </w:rPr>
        <w:t>receive</w:t>
      </w:r>
      <w:r w:rsidR="00144E67" w:rsidRPr="007F009A">
        <w:rPr>
          <w:color w:val="000000" w:themeColor="text1"/>
        </w:rPr>
        <w:t>s</w:t>
      </w:r>
      <w:r w:rsidR="006666C9" w:rsidRPr="007F009A">
        <w:rPr>
          <w:color w:val="000000" w:themeColor="text1"/>
        </w:rPr>
        <w:t xml:space="preserve"> a copy</w:t>
      </w:r>
      <w:r w:rsidR="00DA4204" w:rsidRPr="007F009A">
        <w:rPr>
          <w:color w:val="000000" w:themeColor="text1"/>
        </w:rPr>
        <w:t>.</w:t>
      </w:r>
      <w:r w:rsidR="000D491D" w:rsidRPr="007F009A">
        <w:rPr>
          <w:color w:val="000000" w:themeColor="text1"/>
        </w:rPr>
        <w:t xml:space="preserve"> </w:t>
      </w:r>
      <w:bookmarkStart w:id="6" w:name="_Hlk55197375"/>
      <w:r w:rsidR="00706116" w:rsidRPr="007F009A">
        <w:rPr>
          <w:color w:val="000000" w:themeColor="text1"/>
        </w:rPr>
        <w:t xml:space="preserve">Submit completed documents to </w:t>
      </w:r>
      <w:r w:rsidR="00242F63" w:rsidRPr="007F009A">
        <w:rPr>
          <w:color w:val="000000" w:themeColor="text1"/>
        </w:rPr>
        <w:t>P</w:t>
      </w:r>
      <w:r w:rsidR="00706116" w:rsidRPr="007F009A">
        <w:rPr>
          <w:color w:val="000000" w:themeColor="text1"/>
        </w:rPr>
        <w:t>ayroll</w:t>
      </w:r>
      <w:r w:rsidR="00706116" w:rsidRPr="007F009A">
        <w:rPr>
          <w:b/>
          <w:bCs/>
          <w:color w:val="000000" w:themeColor="text1"/>
        </w:rPr>
        <w:t xml:space="preserve"> 10 days</w:t>
      </w:r>
      <w:r w:rsidR="00706116" w:rsidRPr="007F009A">
        <w:rPr>
          <w:color w:val="000000" w:themeColor="text1"/>
        </w:rPr>
        <w:t xml:space="preserve"> prior to </w:t>
      </w:r>
      <w:r w:rsidR="005F656D" w:rsidRPr="007F009A">
        <w:rPr>
          <w:color w:val="000000" w:themeColor="text1"/>
        </w:rPr>
        <w:t xml:space="preserve">the </w:t>
      </w:r>
      <w:r w:rsidR="005F656D" w:rsidRPr="007F009A">
        <w:t>start date</w:t>
      </w:r>
      <w:r w:rsidR="00D76642" w:rsidRPr="007F009A">
        <w:t xml:space="preserve"> to allow payroll to make them an official employee which allows OTC to meet technology needs for the first day on the job.</w:t>
      </w:r>
    </w:p>
    <w:bookmarkEnd w:id="3"/>
    <w:bookmarkEnd w:id="4"/>
    <w:bookmarkEnd w:id="6"/>
    <w:p w14:paraId="7F0F8E55" w14:textId="454A2BCA" w:rsidR="00144E67" w:rsidRPr="00144E67" w:rsidRDefault="00BE0596" w:rsidP="001B4954">
      <w:pPr>
        <w:pStyle w:val="ListParagraph"/>
        <w:numPr>
          <w:ilvl w:val="0"/>
          <w:numId w:val="10"/>
        </w:numPr>
      </w:pPr>
      <w:r w:rsidRPr="00144E67">
        <w:rPr>
          <w:b/>
          <w:bCs/>
        </w:rPr>
        <w:t xml:space="preserve">Temporary/Seasonal Employees </w:t>
      </w:r>
      <w:r w:rsidR="00144E67" w:rsidRPr="00144E67">
        <w:rPr>
          <w:b/>
          <w:bCs/>
        </w:rPr>
        <w:t>r</w:t>
      </w:r>
      <w:r w:rsidRPr="00144E67">
        <w:rPr>
          <w:b/>
          <w:bCs/>
        </w:rPr>
        <w:t>eturning</w:t>
      </w:r>
      <w:r w:rsidR="00144E67" w:rsidRPr="00144E67">
        <w:rPr>
          <w:b/>
          <w:bCs/>
        </w:rPr>
        <w:t xml:space="preserve"> from T2 status</w:t>
      </w:r>
      <w:r w:rsidRPr="0032057F">
        <w:t xml:space="preserve">: Upon the return of </w:t>
      </w:r>
      <w:r w:rsidR="005F656D">
        <w:t>a</w:t>
      </w:r>
      <w:r w:rsidRPr="0032057F">
        <w:t xml:space="preserve"> temporary</w:t>
      </w:r>
      <w:r w:rsidR="005F656D">
        <w:t>/</w:t>
      </w:r>
      <w:r w:rsidRPr="0032057F">
        <w:t xml:space="preserve">seasonal employee, the department designee must submit the </w:t>
      </w:r>
      <w:r w:rsidRPr="00144E67">
        <w:t xml:space="preserve">Reactivation Packet </w:t>
      </w:r>
      <w:r w:rsidR="005F656D">
        <w:t xml:space="preserve">to Payroll </w:t>
      </w:r>
      <w:r w:rsidRPr="00144E67">
        <w:rPr>
          <w:b/>
          <w:bCs/>
        </w:rPr>
        <w:t xml:space="preserve">10 days </w:t>
      </w:r>
      <w:r w:rsidRPr="006A6233">
        <w:t xml:space="preserve">prior to </w:t>
      </w:r>
      <w:r w:rsidR="005F656D">
        <w:t>the start date.</w:t>
      </w:r>
      <w:r w:rsidRPr="00144E67">
        <w:rPr>
          <w:color w:val="ED7D31" w:themeColor="accent2"/>
        </w:rPr>
        <w:t xml:space="preserve">  </w:t>
      </w:r>
    </w:p>
    <w:p w14:paraId="145E6730" w14:textId="77777777" w:rsidR="00144E67" w:rsidRPr="00144E67" w:rsidRDefault="00144E67" w:rsidP="00144E67">
      <w:pPr>
        <w:pStyle w:val="ListParagraph"/>
      </w:pPr>
    </w:p>
    <w:p w14:paraId="53CF17C6" w14:textId="3D4AF6A9" w:rsidR="00C86A22" w:rsidRDefault="00C86A22" w:rsidP="006A6233">
      <w:pPr>
        <w:pStyle w:val="ListParagraph"/>
        <w:numPr>
          <w:ilvl w:val="0"/>
          <w:numId w:val="10"/>
        </w:numPr>
      </w:pPr>
      <w:r w:rsidRPr="00144E67">
        <w:rPr>
          <w:b/>
          <w:bCs/>
          <w:sz w:val="24"/>
          <w:szCs w:val="24"/>
        </w:rPr>
        <w:lastRenderedPageBreak/>
        <w:t xml:space="preserve">Retirees: </w:t>
      </w:r>
      <w:r w:rsidRPr="00731107">
        <w:t xml:space="preserve">Retirees </w:t>
      </w:r>
      <w:r>
        <w:t xml:space="preserve">that </w:t>
      </w:r>
      <w:r w:rsidRPr="00731107">
        <w:t xml:space="preserve">return as </w:t>
      </w:r>
      <w:r w:rsidR="005F656D">
        <w:t xml:space="preserve">a </w:t>
      </w:r>
      <w:r w:rsidRPr="00731107">
        <w:t xml:space="preserve">temporary employee </w:t>
      </w:r>
      <w:r>
        <w:t xml:space="preserve">must be separated from the City for at least 1 month. </w:t>
      </w:r>
      <w:r w:rsidRPr="00731107">
        <w:t xml:space="preserve">A returning retiree </w:t>
      </w:r>
      <w:r w:rsidR="00442CFD">
        <w:t>accrues</w:t>
      </w:r>
      <w:r>
        <w:t xml:space="preserve"> </w:t>
      </w:r>
      <w:r w:rsidRPr="00144E67">
        <w:rPr>
          <w:i/>
          <w:iCs/>
        </w:rPr>
        <w:t>Earned Sick and Safe Time (ESST)</w:t>
      </w:r>
      <w:r w:rsidRPr="00731107">
        <w:t xml:space="preserve"> when returning as a temporary employee</w:t>
      </w:r>
      <w:r>
        <w:t>.</w:t>
      </w:r>
      <w:r w:rsidR="006A6233">
        <w:t xml:space="preserve"> </w:t>
      </w:r>
      <w:r>
        <w:t xml:space="preserve">See </w:t>
      </w:r>
      <w:r w:rsidRPr="006A6233">
        <w:rPr>
          <w:b/>
          <w:bCs/>
          <w:i/>
          <w:iCs/>
        </w:rPr>
        <w:t>Phased Retirement Option Information</w:t>
      </w:r>
      <w:r>
        <w:t xml:space="preserve"> within </w:t>
      </w:r>
      <w:hyperlink r:id="rId12" w:history="1">
        <w:r w:rsidRPr="00A63D00">
          <w:rPr>
            <w:rStyle w:val="Hyperlink"/>
          </w:rPr>
          <w:t>Policies</w:t>
        </w:r>
      </w:hyperlink>
      <w:r>
        <w:t>.</w:t>
      </w:r>
    </w:p>
    <w:p w14:paraId="494D7F35" w14:textId="41A117B0" w:rsidR="00622E61" w:rsidRPr="00625156" w:rsidRDefault="001727D4" w:rsidP="00A63D00">
      <w:r w:rsidRPr="00625156">
        <w:rPr>
          <w:b/>
          <w:bCs/>
        </w:rPr>
        <w:t>Offboarding</w:t>
      </w:r>
      <w:r w:rsidR="00A63D00" w:rsidRPr="00625156">
        <w:rPr>
          <w:b/>
          <w:bCs/>
        </w:rPr>
        <w:t>:</w:t>
      </w:r>
      <w:r w:rsidR="007A4097" w:rsidRPr="00625156">
        <w:rPr>
          <w:b/>
          <w:bCs/>
        </w:rPr>
        <w:t xml:space="preserve"> </w:t>
      </w:r>
      <w:r w:rsidR="00622E61" w:rsidRPr="00625156">
        <w:t xml:space="preserve">HR must be notified of employee’s last day of temporary employment. </w:t>
      </w:r>
      <w:r w:rsidR="00FC6A77" w:rsidRPr="00625156">
        <w:t xml:space="preserve">Before employee’s last day, </w:t>
      </w:r>
      <w:r w:rsidR="00A41547" w:rsidRPr="00625156">
        <w:t xml:space="preserve">department must </w:t>
      </w:r>
      <w:r w:rsidR="007A4097" w:rsidRPr="00625156">
        <w:t>c</w:t>
      </w:r>
      <w:r w:rsidR="00FC6A77" w:rsidRPr="00625156">
        <w:t xml:space="preserve">omplete and sign the </w:t>
      </w:r>
      <w:hyperlink r:id="rId13" w:history="1">
        <w:r w:rsidR="0019121E" w:rsidRPr="00625156">
          <w:rPr>
            <w:rStyle w:val="Hyperlink"/>
            <w:color w:val="4472C4" w:themeColor="accent1"/>
          </w:rPr>
          <w:t>Offboarding (Separation) form</w:t>
        </w:r>
      </w:hyperlink>
      <w:r w:rsidR="0018431B" w:rsidRPr="00625156">
        <w:rPr>
          <w:color w:val="4472C4" w:themeColor="accent1"/>
        </w:rPr>
        <w:t xml:space="preserve"> </w:t>
      </w:r>
      <w:r w:rsidR="00F1446A" w:rsidRPr="00625156">
        <w:t xml:space="preserve">then submit completed form </w:t>
      </w:r>
      <w:r w:rsidRPr="00625156">
        <w:t xml:space="preserve">to Payroll. </w:t>
      </w:r>
      <w:r w:rsidR="003F5241" w:rsidRPr="00625156">
        <w:t xml:space="preserve">See sample form below. </w:t>
      </w:r>
      <w:r w:rsidR="00144E67" w:rsidRPr="00625156">
        <w:t>C</w:t>
      </w:r>
      <w:r w:rsidRPr="00625156">
        <w:t xml:space="preserve">heck </w:t>
      </w:r>
      <w:r w:rsidR="00602914" w:rsidRPr="00625156">
        <w:t xml:space="preserve">one </w:t>
      </w:r>
      <w:r w:rsidRPr="00625156">
        <w:t xml:space="preserve">of the </w:t>
      </w:r>
      <w:r w:rsidR="00706116" w:rsidRPr="00625156">
        <w:t>following</w:t>
      </w:r>
      <w:r w:rsidR="00144E67" w:rsidRPr="00625156">
        <w:t>:</w:t>
      </w:r>
    </w:p>
    <w:p w14:paraId="69E948F8" w14:textId="0615C562" w:rsidR="006B3102" w:rsidRPr="007F009A" w:rsidRDefault="00237E40" w:rsidP="006666C9">
      <w:pPr>
        <w:pStyle w:val="ListParagraph"/>
        <w:numPr>
          <w:ilvl w:val="0"/>
          <w:numId w:val="9"/>
        </w:numPr>
        <w:rPr>
          <w:strike/>
        </w:rPr>
      </w:pPr>
      <w:r w:rsidRPr="00625156">
        <w:rPr>
          <w:b/>
          <w:bCs/>
        </w:rPr>
        <w:t>Separation</w:t>
      </w:r>
      <w:r w:rsidR="00602914" w:rsidRPr="00625156">
        <w:rPr>
          <w:b/>
          <w:bCs/>
        </w:rPr>
        <w:t xml:space="preserve"> of Temporary Employee (T2 Status</w:t>
      </w:r>
      <w:r w:rsidR="00602914" w:rsidRPr="00625156">
        <w:t>)</w:t>
      </w:r>
      <w:r w:rsidR="00602914" w:rsidRPr="00625156">
        <w:rPr>
          <w:b/>
          <w:bCs/>
        </w:rPr>
        <w:t>:</w:t>
      </w:r>
      <w:r w:rsidR="00602914" w:rsidRPr="00625156">
        <w:t xml:space="preserve"> This temporary</w:t>
      </w:r>
      <w:r w:rsidR="006B3102" w:rsidRPr="00625156">
        <w:t>/</w:t>
      </w:r>
      <w:r w:rsidR="00602914" w:rsidRPr="00625156">
        <w:t>seasonal employee is interested in return</w:t>
      </w:r>
      <w:r w:rsidRPr="00625156">
        <w:t>ing to employment</w:t>
      </w:r>
      <w:r w:rsidR="00602914" w:rsidRPr="00625156">
        <w:t>.</w:t>
      </w:r>
      <w:r w:rsidR="006B3102" w:rsidRPr="00625156">
        <w:t xml:space="preserve"> This status allows temporary employees </w:t>
      </w:r>
      <w:r w:rsidR="00F152B5" w:rsidRPr="00625156">
        <w:t xml:space="preserve">to be rehired </w:t>
      </w:r>
      <w:r w:rsidR="006B3102" w:rsidRPr="00625156">
        <w:t xml:space="preserve">up to 1 year from the date last worked. </w:t>
      </w:r>
      <w:r w:rsidR="006666C9" w:rsidRPr="00625156">
        <w:t xml:space="preserve">The employee must agree to work within the following year, and this must be authorized by the department representative. </w:t>
      </w:r>
      <w:r w:rsidR="006B3102" w:rsidRPr="00625156">
        <w:t>Employee will be term</w:t>
      </w:r>
      <w:r w:rsidR="006666C9" w:rsidRPr="00625156">
        <w:t>inated</w:t>
      </w:r>
      <w:r w:rsidR="006B3102" w:rsidRPr="00625156">
        <w:t xml:space="preserve"> if they do not return </w:t>
      </w:r>
      <w:r w:rsidR="006B3102" w:rsidRPr="007F009A">
        <w:t xml:space="preserve">within the 1 year. This status does not guarantee </w:t>
      </w:r>
      <w:r w:rsidR="00F152B5" w:rsidRPr="007F009A">
        <w:t xml:space="preserve">future </w:t>
      </w:r>
      <w:r w:rsidR="006B3102" w:rsidRPr="007F009A">
        <w:t>employment</w:t>
      </w:r>
      <w:r w:rsidRPr="007F009A">
        <w:t xml:space="preserve">. If </w:t>
      </w:r>
      <w:r w:rsidR="00622E61" w:rsidRPr="007F009A">
        <w:t xml:space="preserve">the </w:t>
      </w:r>
      <w:r w:rsidRPr="007F009A">
        <w:t xml:space="preserve">employee returns </w:t>
      </w:r>
      <w:r w:rsidR="00CD5187" w:rsidRPr="007F009A">
        <w:t>within</w:t>
      </w:r>
      <w:r w:rsidRPr="007F009A">
        <w:t xml:space="preserve"> 1 year from date last work</w:t>
      </w:r>
      <w:r w:rsidR="00CD5187" w:rsidRPr="007F009A">
        <w:t>ed</w:t>
      </w:r>
      <w:r w:rsidRPr="007F009A">
        <w:t xml:space="preserve">, </w:t>
      </w:r>
      <w:r w:rsidR="00442CFD" w:rsidRPr="007F009A">
        <w:t xml:space="preserve">the </w:t>
      </w:r>
      <w:r w:rsidRPr="007F009A">
        <w:t xml:space="preserve">department </w:t>
      </w:r>
      <w:r w:rsidR="00442CFD" w:rsidRPr="007F009A">
        <w:t xml:space="preserve">only </w:t>
      </w:r>
      <w:r w:rsidRPr="007F009A">
        <w:t>need</w:t>
      </w:r>
      <w:r w:rsidR="00C06030" w:rsidRPr="007F009A">
        <w:t>s</w:t>
      </w:r>
      <w:r w:rsidRPr="007F009A">
        <w:t xml:space="preserve"> to complete </w:t>
      </w:r>
      <w:r w:rsidR="00622E61" w:rsidRPr="007F009A">
        <w:t xml:space="preserve">a </w:t>
      </w:r>
      <w:r w:rsidRPr="007F009A">
        <w:t>reactivation packet</w:t>
      </w:r>
      <w:r w:rsidR="00CD5187" w:rsidRPr="007F009A">
        <w:t xml:space="preserve"> and not the full New Hire Packet. Packets are found in the Managers Toolbox on the Hiring Page</w:t>
      </w:r>
      <w:r w:rsidRPr="007F009A">
        <w:t xml:space="preserve">. </w:t>
      </w:r>
      <w:r w:rsidR="00CD5187" w:rsidRPr="007F009A">
        <w:t xml:space="preserve"> </w:t>
      </w:r>
    </w:p>
    <w:p w14:paraId="56AE68D4" w14:textId="3C6B56D6" w:rsidR="00602914" w:rsidRDefault="007F009A" w:rsidP="006666C9">
      <w:pPr>
        <w:pStyle w:val="ListParagraph"/>
        <w:numPr>
          <w:ilvl w:val="0"/>
          <w:numId w:val="9"/>
        </w:numPr>
      </w:pPr>
      <w:r w:rsidRPr="007F009A">
        <w:rPr>
          <w:noProof/>
        </w:rPr>
        <w:drawing>
          <wp:anchor distT="0" distB="0" distL="114300" distR="114300" simplePos="0" relativeHeight="251659264" behindDoc="0" locked="0" layoutInCell="1" allowOverlap="1" wp14:anchorId="6BE52594" wp14:editId="4F8D8456">
            <wp:simplePos x="0" y="0"/>
            <wp:positionH relativeFrom="margin">
              <wp:align>right</wp:align>
            </wp:positionH>
            <wp:positionV relativeFrom="paragraph">
              <wp:posOffset>563880</wp:posOffset>
            </wp:positionV>
            <wp:extent cx="5842000" cy="1150620"/>
            <wp:effectExtent l="76200" t="76200" r="139700" b="125730"/>
            <wp:wrapThrough wrapText="bothSides">
              <wp:wrapPolygon edited="0">
                <wp:start x="-141" y="-1430"/>
                <wp:lineTo x="-282" y="-1073"/>
                <wp:lineTo x="-282" y="21815"/>
                <wp:lineTo x="-141" y="23603"/>
                <wp:lineTo x="21905" y="23603"/>
                <wp:lineTo x="22046" y="21815"/>
                <wp:lineTo x="22046" y="4649"/>
                <wp:lineTo x="21905" y="-715"/>
                <wp:lineTo x="21905" y="-1430"/>
                <wp:lineTo x="-141" y="-143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842000" cy="1150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37E40" w:rsidRPr="007F009A">
        <w:rPr>
          <w:b/>
          <w:bCs/>
        </w:rPr>
        <w:t>Termination</w:t>
      </w:r>
      <w:r w:rsidR="00602914" w:rsidRPr="007F009A">
        <w:rPr>
          <w:b/>
          <w:bCs/>
        </w:rPr>
        <w:t xml:space="preserve"> of Temporary Employee (T</w:t>
      </w:r>
      <w:r w:rsidR="00D856CA" w:rsidRPr="007F009A">
        <w:rPr>
          <w:b/>
          <w:bCs/>
        </w:rPr>
        <w:t>3</w:t>
      </w:r>
      <w:r w:rsidR="00602914" w:rsidRPr="007F009A">
        <w:rPr>
          <w:b/>
          <w:bCs/>
        </w:rPr>
        <w:t xml:space="preserve"> Status):</w:t>
      </w:r>
      <w:r w:rsidR="00602914" w:rsidRPr="007F009A">
        <w:t xml:space="preserve"> Th</w:t>
      </w:r>
      <w:r w:rsidR="00F152B5" w:rsidRPr="007F009A">
        <w:t>e</w:t>
      </w:r>
      <w:r w:rsidR="00602914" w:rsidRPr="007F009A">
        <w:t xml:space="preserve"> temporary</w:t>
      </w:r>
      <w:r w:rsidR="006B3102" w:rsidRPr="007F009A">
        <w:t>/season</w:t>
      </w:r>
      <w:r w:rsidR="00D856CA" w:rsidRPr="007F009A">
        <w:t>al</w:t>
      </w:r>
      <w:r w:rsidR="00602914" w:rsidRPr="007F009A">
        <w:t xml:space="preserve"> employee is</w:t>
      </w:r>
      <w:r w:rsidR="00F152B5" w:rsidRPr="007F009A">
        <w:t xml:space="preserve"> not expected to return to work in the next year.</w:t>
      </w:r>
      <w:r w:rsidR="00A60874" w:rsidRPr="007F009A">
        <w:t xml:space="preserve"> </w:t>
      </w:r>
    </w:p>
    <w:p w14:paraId="48F678C6" w14:textId="2EF87FBC" w:rsidR="007D48EC" w:rsidRPr="003F5241" w:rsidRDefault="007D48EC" w:rsidP="007D48EC">
      <w:pPr>
        <w:rPr>
          <w:u w:val="single"/>
        </w:rPr>
      </w:pPr>
      <w:r w:rsidRPr="00983E71">
        <w:rPr>
          <w:b/>
          <w:bCs/>
          <w:sz w:val="24"/>
          <w:szCs w:val="24"/>
        </w:rPr>
        <w:t xml:space="preserve">AFSCME Clerical, Technical, and Legal temporary positions are covered by collective bargaining agreements </w:t>
      </w:r>
      <w:r w:rsidRPr="003F5241">
        <w:t>and the union may ask them to pay union dues, however, they are not required to pay dues. The City makes no recommendation regarding union membership. Once requested, HR will implement union dues as a payroll deduction.</w:t>
      </w:r>
      <w:r w:rsidRPr="003F5241">
        <w:rPr>
          <w:b/>
          <w:bCs/>
        </w:rPr>
        <w:t xml:space="preserve"> </w:t>
      </w:r>
    </w:p>
    <w:p w14:paraId="32841DEB" w14:textId="0D1633F6" w:rsidR="007D48EC" w:rsidRPr="003F5241" w:rsidRDefault="007D48EC" w:rsidP="007D48EC">
      <w:r w:rsidRPr="00983E71">
        <w:rPr>
          <w:b/>
          <w:bCs/>
          <w:sz w:val="24"/>
          <w:szCs w:val="24"/>
        </w:rPr>
        <w:t>AFSCME Clerical and Technical temporary employees are eligible for holiday pay</w:t>
      </w:r>
      <w:r w:rsidRPr="003F5241">
        <w:t xml:space="preserve"> after </w:t>
      </w:r>
      <w:r w:rsidR="009F659F" w:rsidRPr="003F5241">
        <w:t xml:space="preserve">being employed for </w:t>
      </w:r>
      <w:r w:rsidRPr="003F5241">
        <w:t>67 calendar days. After this time period, the employee qualif</w:t>
      </w:r>
      <w:r w:rsidR="00506AB1" w:rsidRPr="003F5241">
        <w:t>ies</w:t>
      </w:r>
      <w:r w:rsidRPr="003F5241">
        <w:t xml:space="preserve"> for holiday</w:t>
      </w:r>
      <w:r w:rsidR="00506AB1" w:rsidRPr="003F5241">
        <w:t xml:space="preserve"> pay</w:t>
      </w:r>
      <w:r w:rsidRPr="003F5241">
        <w:t xml:space="preserve"> </w:t>
      </w:r>
      <w:r w:rsidRPr="0019121E">
        <w:t>a</w:t>
      </w:r>
      <w:r w:rsidR="00920AA2" w:rsidRPr="0019121E">
        <w:t>s a</w:t>
      </w:r>
      <w:r w:rsidRPr="0019121E">
        <w:t xml:space="preserve"> certified </w:t>
      </w:r>
      <w:r w:rsidRPr="003F5241">
        <w:t xml:space="preserve">employee would.  </w:t>
      </w:r>
    </w:p>
    <w:p w14:paraId="341DF30B" w14:textId="5E3EEF88" w:rsidR="00B52634" w:rsidRPr="003F5241" w:rsidRDefault="00731107" w:rsidP="00B52634">
      <w:bookmarkStart w:id="7" w:name="_Hlk49174493"/>
      <w:r w:rsidRPr="003F5241">
        <w:rPr>
          <w:b/>
          <w:bCs/>
          <w:sz w:val="24"/>
          <w:szCs w:val="24"/>
        </w:rPr>
        <w:t xml:space="preserve">Qualifying for Public Employees Retirement Association (PERA): </w:t>
      </w:r>
      <w:r w:rsidRPr="003F5241">
        <w:t>Participation in</w:t>
      </w:r>
      <w:r w:rsidRPr="003F5241">
        <w:rPr>
          <w:b/>
          <w:bCs/>
        </w:rPr>
        <w:t xml:space="preserve"> PERA is mandatory </w:t>
      </w:r>
      <w:r w:rsidRPr="00C06030">
        <w:t>(unless they qualify for PERA exclusions)</w:t>
      </w:r>
      <w:r w:rsidRPr="003F5241">
        <w:rPr>
          <w:b/>
          <w:bCs/>
        </w:rPr>
        <w:t xml:space="preserve"> </w:t>
      </w:r>
      <w:r w:rsidRPr="00C06030">
        <w:t>once</w:t>
      </w:r>
      <w:r w:rsidRPr="003F5241">
        <w:rPr>
          <w:b/>
          <w:bCs/>
        </w:rPr>
        <w:t xml:space="preserve"> </w:t>
      </w:r>
      <w:r w:rsidRPr="00C06030">
        <w:t>a</w:t>
      </w:r>
      <w:r w:rsidRPr="003F5241">
        <w:rPr>
          <w:b/>
          <w:bCs/>
        </w:rPr>
        <w:t xml:space="preserve"> </w:t>
      </w:r>
      <w:r w:rsidRPr="003F5241">
        <w:t>temporary employee works six (6) months and earns more than $</w:t>
      </w:r>
      <w:r w:rsidR="00E25278" w:rsidRPr="003F5241">
        <w:t>5100.00 annually.</w:t>
      </w:r>
      <w:r w:rsidRPr="003F5241">
        <w:t xml:space="preserve"> </w:t>
      </w:r>
    </w:p>
    <w:p w14:paraId="1CCA4B3B" w14:textId="56A61F4A" w:rsidR="00930D06" w:rsidRPr="003F5241" w:rsidRDefault="00930D06" w:rsidP="00ED5D2E">
      <w:pPr>
        <w:pStyle w:val="ListParagraph"/>
        <w:numPr>
          <w:ilvl w:val="0"/>
          <w:numId w:val="4"/>
        </w:numPr>
      </w:pPr>
      <w:r w:rsidRPr="003F5241">
        <w:t>Exceptions may apply to full time students and positions represented by Trades positions listed below.</w:t>
      </w:r>
    </w:p>
    <w:p w14:paraId="7EDB2E83" w14:textId="4BDA7689" w:rsidR="00731107" w:rsidRPr="003F5241" w:rsidRDefault="00731107" w:rsidP="00ED5D2E">
      <w:pPr>
        <w:pStyle w:val="ListParagraph"/>
        <w:numPr>
          <w:ilvl w:val="0"/>
          <w:numId w:val="4"/>
        </w:numPr>
      </w:pPr>
      <w:r w:rsidRPr="003F5241">
        <w:t xml:space="preserve">See PERA’s website (www.mnpera.org) for further information. </w:t>
      </w:r>
    </w:p>
    <w:bookmarkEnd w:id="7"/>
    <w:p w14:paraId="3AF3EB35" w14:textId="5E9B046B" w:rsidR="00983E71" w:rsidRPr="009F4E1E" w:rsidRDefault="00B77E3C" w:rsidP="00AD41EB">
      <w:pPr>
        <w:pStyle w:val="ListParagraph"/>
        <w:rPr>
          <w:b/>
          <w:bCs/>
        </w:rPr>
      </w:pPr>
      <w:r w:rsidRPr="00AD41EB">
        <w:rPr>
          <w:b/>
          <w:bCs/>
          <w:sz w:val="24"/>
          <w:szCs w:val="24"/>
        </w:rPr>
        <w:t>PERA Eligible Trades Positions</w:t>
      </w:r>
      <w:r w:rsidR="00983E71">
        <w:rPr>
          <w:b/>
          <w:bCs/>
          <w:sz w:val="24"/>
          <w:szCs w:val="24"/>
        </w:rPr>
        <w:t xml:space="preserve"> include</w:t>
      </w:r>
      <w:r w:rsidRPr="00AD41EB">
        <w:rPr>
          <w:b/>
          <w:bCs/>
        </w:rPr>
        <w:t xml:space="preserve">: </w:t>
      </w:r>
      <w:r w:rsidR="00AD41EB" w:rsidRPr="003F5241">
        <w:t xml:space="preserve">Pipefitters, Fire Sprinkler Inspectors, Sheet Metal Workers and Elevator Constructors. </w:t>
      </w:r>
      <w:r w:rsidR="009F4E1E">
        <w:rPr>
          <w:b/>
          <w:bCs/>
        </w:rPr>
        <w:t xml:space="preserve"> </w:t>
      </w:r>
      <w:r w:rsidR="009F4E1E" w:rsidRPr="00D87C87">
        <w:rPr>
          <w:b/>
          <w:bCs/>
        </w:rPr>
        <w:t xml:space="preserve">As of </w:t>
      </w:r>
      <w:r w:rsidR="00D87C87" w:rsidRPr="00D87C87">
        <w:rPr>
          <w:b/>
          <w:bCs/>
        </w:rPr>
        <w:t>July 1, 2020,</w:t>
      </w:r>
      <w:r w:rsidR="009F4E1E" w:rsidRPr="00D87C87">
        <w:rPr>
          <w:b/>
          <w:bCs/>
        </w:rPr>
        <w:t xml:space="preserve"> all new Trades employees are excluded from PERA.</w:t>
      </w:r>
    </w:p>
    <w:p w14:paraId="20795D0C" w14:textId="77777777" w:rsidR="003B0F0E" w:rsidRDefault="00B77E3C" w:rsidP="003B0F0E">
      <w:pPr>
        <w:pStyle w:val="ListParagraph"/>
        <w:numPr>
          <w:ilvl w:val="0"/>
          <w:numId w:val="6"/>
        </w:numPr>
      </w:pPr>
      <w:r w:rsidRPr="003F5241">
        <w:t xml:space="preserve">The rate for a temporary employee who exceeds the six months or is anticipated to work for more than six months will become eligible for </w:t>
      </w:r>
      <w:r w:rsidRPr="0019121E">
        <w:t xml:space="preserve">PERA </w:t>
      </w:r>
      <w:r w:rsidR="00920AA2" w:rsidRPr="0019121E">
        <w:t xml:space="preserve">and </w:t>
      </w:r>
      <w:r w:rsidRPr="0019121E">
        <w:t xml:space="preserve">should </w:t>
      </w:r>
      <w:r w:rsidRPr="003F5241">
        <w:t xml:space="preserve">be changed to the </w:t>
      </w:r>
      <w:r w:rsidRPr="00C06030">
        <w:rPr>
          <w:i/>
          <w:iCs/>
        </w:rPr>
        <w:t>with PERA</w:t>
      </w:r>
      <w:r w:rsidRPr="003F5241">
        <w:t xml:space="preserve"> rate. The </w:t>
      </w:r>
      <w:r w:rsidRPr="003F5241">
        <w:rPr>
          <w:i/>
          <w:iCs/>
        </w:rPr>
        <w:t>with PERA</w:t>
      </w:r>
      <w:r w:rsidRPr="003F5241">
        <w:t xml:space="preserve"> rate is lower due to employer’s PERA contribution for the employee.</w:t>
      </w:r>
    </w:p>
    <w:p w14:paraId="147FD16C" w14:textId="77777777" w:rsidR="003B0F0E" w:rsidRDefault="003B0F0E" w:rsidP="003B0F0E">
      <w:pPr>
        <w:pStyle w:val="ListParagraph"/>
      </w:pPr>
    </w:p>
    <w:p w14:paraId="7A2DC57A" w14:textId="6AF357E5" w:rsidR="003B0F0E" w:rsidRPr="003B0F0E" w:rsidRDefault="003B0F0E" w:rsidP="003B0F0E">
      <w:pPr>
        <w:pStyle w:val="ListParagraph"/>
        <w:ind w:left="0"/>
      </w:pPr>
      <w:r w:rsidRPr="003B0F0E">
        <w:rPr>
          <w:b/>
          <w:bCs/>
          <w:sz w:val="24"/>
          <w:szCs w:val="24"/>
        </w:rPr>
        <w:t xml:space="preserve">Floating Holidays: </w:t>
      </w:r>
      <w:r w:rsidRPr="003F5241">
        <w:t xml:space="preserve">Temporary </w:t>
      </w:r>
      <w:r w:rsidRPr="0019121E">
        <w:t xml:space="preserve">employees are not eligible for floating </w:t>
      </w:r>
      <w:r w:rsidRPr="003F5241">
        <w:t xml:space="preserve">holidays. </w:t>
      </w:r>
    </w:p>
    <w:p w14:paraId="1A9CDB11" w14:textId="409A6BBE" w:rsidR="007D48EC" w:rsidRPr="003F5241" w:rsidRDefault="007D48EC" w:rsidP="007D48EC">
      <w:r w:rsidRPr="003F5241">
        <w:rPr>
          <w:b/>
          <w:bCs/>
          <w:sz w:val="24"/>
          <w:szCs w:val="24"/>
        </w:rPr>
        <w:t xml:space="preserve">Temporary Employees Can Never Work In an “Out of Title” Position: </w:t>
      </w:r>
      <w:r w:rsidRPr="003F5241">
        <w:t>Temporary employees can NEVER work out of title in another position and are only authorized to work in their official title(s)</w:t>
      </w:r>
      <w:r w:rsidRPr="003F5241">
        <w:rPr>
          <w:sz w:val="18"/>
          <w:szCs w:val="18"/>
        </w:rPr>
        <w:t>.</w:t>
      </w:r>
      <w:r w:rsidR="004034CD" w:rsidRPr="003F5241">
        <w:rPr>
          <w:sz w:val="18"/>
          <w:szCs w:val="18"/>
        </w:rPr>
        <w:t xml:space="preserve"> </w:t>
      </w:r>
      <w:r w:rsidRPr="003F5241">
        <w:t>A temporary employee can hold more than one title within the same department.</w:t>
      </w:r>
      <w:r w:rsidR="00325150" w:rsidRPr="003F5241">
        <w:t xml:space="preserve"> (Snow taggers are an exception.)</w:t>
      </w:r>
      <w:r w:rsidRPr="003F5241">
        <w:t xml:space="preserve"> </w:t>
      </w:r>
    </w:p>
    <w:p w14:paraId="547DB611" w14:textId="1465D33B" w:rsidR="00AD41EB" w:rsidRPr="003F5241" w:rsidRDefault="00AD41EB" w:rsidP="00AD41EB">
      <w:pPr>
        <w:rPr>
          <w:b/>
          <w:bCs/>
          <w:i/>
          <w:iCs/>
        </w:rPr>
      </w:pPr>
      <w:r w:rsidRPr="003F5241">
        <w:rPr>
          <w:b/>
          <w:bCs/>
          <w:sz w:val="24"/>
          <w:szCs w:val="24"/>
        </w:rPr>
        <w:t xml:space="preserve">Monitoring 1040 </w:t>
      </w:r>
      <w:r>
        <w:rPr>
          <w:b/>
          <w:bCs/>
          <w:sz w:val="24"/>
          <w:szCs w:val="24"/>
        </w:rPr>
        <w:t>Maximum</w:t>
      </w:r>
      <w:r w:rsidRPr="003F5241">
        <w:rPr>
          <w:b/>
          <w:bCs/>
          <w:sz w:val="24"/>
          <w:szCs w:val="24"/>
        </w:rPr>
        <w:t>:</w:t>
      </w:r>
      <w:r w:rsidRPr="003F5241">
        <w:rPr>
          <w:sz w:val="24"/>
          <w:szCs w:val="24"/>
        </w:rPr>
        <w:t xml:space="preserve"> </w:t>
      </w:r>
      <w:r w:rsidRPr="003F5241">
        <w:rPr>
          <w:b/>
          <w:bCs/>
          <w:sz w:val="24"/>
          <w:szCs w:val="24"/>
        </w:rPr>
        <w:t xml:space="preserve">(per fiscal year per CSRs): </w:t>
      </w:r>
      <w:r w:rsidRPr="003F5241">
        <w:t xml:space="preserve">Department directors or their designee are responsible for ensuring hours are monitored and action is taken to ensure policy is followed. (Run Hours Worked per Date report using TASS analytics.) </w:t>
      </w:r>
    </w:p>
    <w:p w14:paraId="5D33C4F4" w14:textId="3C986237" w:rsidR="000F1AD7" w:rsidRPr="00D87C87" w:rsidRDefault="000F1AD7" w:rsidP="00983E71">
      <w:pPr>
        <w:pStyle w:val="ListParagraph"/>
        <w:numPr>
          <w:ilvl w:val="0"/>
          <w:numId w:val="16"/>
        </w:numPr>
      </w:pPr>
      <w:r w:rsidRPr="00D87C87">
        <w:rPr>
          <w:b/>
          <w:bCs/>
          <w:sz w:val="24"/>
          <w:szCs w:val="24"/>
        </w:rPr>
        <w:t>1040 Hours Maximum</w:t>
      </w:r>
      <w:r w:rsidR="00983E71" w:rsidRPr="00D87C87">
        <w:rPr>
          <w:b/>
          <w:bCs/>
          <w:sz w:val="24"/>
          <w:szCs w:val="24"/>
        </w:rPr>
        <w:t xml:space="preserve">: </w:t>
      </w:r>
      <w:r w:rsidRPr="00D87C87">
        <w:t xml:space="preserve">The 1040 hour limit for temporary employees includes regular working hours PLUS any overtime hours. The 1040 hours is </w:t>
      </w:r>
      <w:r w:rsidR="00920AA2" w:rsidRPr="00D87C87">
        <w:t>Citywide,</w:t>
      </w:r>
      <w:r w:rsidRPr="00D87C87">
        <w:t xml:space="preserve"> so all hours worked in the same payroll year for </w:t>
      </w:r>
      <w:proofErr w:type="gramStart"/>
      <w:r w:rsidRPr="00D87C87">
        <w:t>any and all</w:t>
      </w:r>
      <w:proofErr w:type="gramEnd"/>
      <w:r w:rsidRPr="00D87C87">
        <w:t xml:space="preserve"> departments are included in this 1040 hour total. At the beginning of a new payroll year, the employee starts over on the 1040 hour restriction even if there are more hours left on the previous year’s temporary appointment. </w:t>
      </w:r>
    </w:p>
    <w:p w14:paraId="23313FE3" w14:textId="5CBB403E" w:rsidR="000F1AD7" w:rsidRPr="00D87C87" w:rsidRDefault="000F1AD7" w:rsidP="00983E71">
      <w:pPr>
        <w:pStyle w:val="ListParagraph"/>
        <w:numPr>
          <w:ilvl w:val="0"/>
          <w:numId w:val="16"/>
        </w:numPr>
        <w:rPr>
          <w:b/>
          <w:bCs/>
        </w:rPr>
      </w:pPr>
      <w:r w:rsidRPr="00D87C87">
        <w:rPr>
          <w:b/>
          <w:bCs/>
          <w:sz w:val="24"/>
          <w:szCs w:val="24"/>
        </w:rPr>
        <w:t xml:space="preserve">Requesting approval over 1040 max </w:t>
      </w:r>
      <w:r w:rsidR="00242F63" w:rsidRPr="00D87C87">
        <w:rPr>
          <w:b/>
          <w:bCs/>
          <w:sz w:val="24"/>
          <w:szCs w:val="24"/>
        </w:rPr>
        <w:t xml:space="preserve">hours </w:t>
      </w:r>
      <w:r w:rsidRPr="00D87C87">
        <w:rPr>
          <w:b/>
          <w:bCs/>
          <w:sz w:val="24"/>
          <w:szCs w:val="24"/>
        </w:rPr>
        <w:t xml:space="preserve">per fiscal year: </w:t>
      </w:r>
      <w:r w:rsidRPr="00D87C87">
        <w:t xml:space="preserve">Submit </w:t>
      </w:r>
      <w:r w:rsidR="00625156" w:rsidRPr="00D87C87">
        <w:t>an email</w:t>
      </w:r>
      <w:r w:rsidR="00647D4F" w:rsidRPr="00D87C87">
        <w:t xml:space="preserve"> </w:t>
      </w:r>
      <w:r w:rsidRPr="00D87C87">
        <w:t xml:space="preserve">to </w:t>
      </w:r>
      <w:r w:rsidR="00CD4030" w:rsidRPr="00D87C87">
        <w:t>the HR Director or HR Manager</w:t>
      </w:r>
      <w:r w:rsidRPr="00D87C87">
        <w:t xml:space="preserve"> </w:t>
      </w:r>
      <w:r w:rsidR="00647D4F" w:rsidRPr="00D87C87">
        <w:t>requesting approval for an employee to work more than 1,040 hours in a year. Include</w:t>
      </w:r>
      <w:r w:rsidRPr="00D87C87">
        <w:t xml:space="preserve"> the reason</w:t>
      </w:r>
      <w:r w:rsidR="00CD4030" w:rsidRPr="00D87C87">
        <w:t xml:space="preserve"> the employee needs to work more than</w:t>
      </w:r>
      <w:r w:rsidRPr="00D87C87">
        <w:t xml:space="preserve"> 1040</w:t>
      </w:r>
      <w:r w:rsidR="00CD4030" w:rsidRPr="00D87C87">
        <w:t xml:space="preserve"> hours</w:t>
      </w:r>
      <w:r w:rsidRPr="00D87C87">
        <w:t>, the expected end date, the number of</w:t>
      </w:r>
      <w:r w:rsidR="00FD4A68" w:rsidRPr="00D87C87">
        <w:t xml:space="preserve"> hours</w:t>
      </w:r>
      <w:r w:rsidRPr="00D87C87">
        <w:t xml:space="preserve"> the person has </w:t>
      </w:r>
      <w:r w:rsidR="00CD4030" w:rsidRPr="00D87C87">
        <w:t>already worked in the year</w:t>
      </w:r>
      <w:r w:rsidRPr="00D87C87">
        <w:t>, and if the employee is expected to return the following year.</w:t>
      </w:r>
      <w:r w:rsidR="00313822" w:rsidRPr="00D87C87">
        <w:t xml:space="preserve"> </w:t>
      </w:r>
      <w:r w:rsidR="00CD4030" w:rsidRPr="00D87C87">
        <w:t>Approval must be given by H</w:t>
      </w:r>
      <w:r w:rsidR="00647D4F" w:rsidRPr="00D87C87">
        <w:t>uman Resources</w:t>
      </w:r>
      <w:r w:rsidR="00CD4030" w:rsidRPr="00D87C87">
        <w:t xml:space="preserve"> for the employee to continue working beyond 1040 hours.</w:t>
      </w:r>
      <w:r w:rsidR="00920AA2" w:rsidRPr="00D87C87">
        <w:t xml:space="preserve"> </w:t>
      </w:r>
    </w:p>
    <w:p w14:paraId="1CDBA716" w14:textId="77777777" w:rsidR="0033582F" w:rsidRPr="003F5241" w:rsidRDefault="0033582F" w:rsidP="00731107"/>
    <w:p w14:paraId="31A5BC27" w14:textId="56EF25ED" w:rsidR="00731107" w:rsidRPr="003F5241" w:rsidRDefault="00647D4F" w:rsidP="00731107">
      <w:r w:rsidRPr="003F5241">
        <w:rPr>
          <w:b/>
          <w:bCs/>
        </w:rPr>
        <w:t xml:space="preserve">If you have any further questions regarding this policy, please contact: </w:t>
      </w:r>
    </w:p>
    <w:p w14:paraId="3E2FF0BF" w14:textId="27D4257B" w:rsidR="00731107" w:rsidRPr="003F5241" w:rsidRDefault="00731107" w:rsidP="00731107">
      <w:r w:rsidRPr="003F5241">
        <w:t xml:space="preserve">Human Resources (651) 266-6500 </w:t>
      </w:r>
    </w:p>
    <w:p w14:paraId="50339B4A" w14:textId="70B66C96" w:rsidR="008556B5" w:rsidRPr="003F5241" w:rsidRDefault="00731107" w:rsidP="00731107">
      <w:pPr>
        <w:rPr>
          <w:strike/>
        </w:rPr>
      </w:pPr>
      <w:r w:rsidRPr="003F5241">
        <w:t>Revised:</w:t>
      </w:r>
      <w:r w:rsidR="007F009A">
        <w:t xml:space="preserve"> </w:t>
      </w:r>
      <w:r w:rsidR="00B355E5">
        <w:t>5</w:t>
      </w:r>
      <w:r w:rsidR="007F009A">
        <w:t>/</w:t>
      </w:r>
      <w:r w:rsidR="00B355E5">
        <w:t>28</w:t>
      </w:r>
      <w:r w:rsidR="007F009A">
        <w:t>/2</w:t>
      </w:r>
      <w:r w:rsidR="00B355E5">
        <w:t>1</w:t>
      </w:r>
    </w:p>
    <w:sectPr w:rsidR="008556B5" w:rsidRPr="003F5241" w:rsidSect="00C07B73">
      <w:footerReference w:type="default" r:id="rId15"/>
      <w:pgSz w:w="12240" w:h="15840" w:code="1"/>
      <w:pgMar w:top="446" w:right="1152" w:bottom="576"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8CC79" w14:textId="77777777" w:rsidR="003408D4" w:rsidRDefault="003408D4" w:rsidP="00C07B73">
      <w:pPr>
        <w:spacing w:after="0" w:line="240" w:lineRule="auto"/>
      </w:pPr>
      <w:r>
        <w:separator/>
      </w:r>
    </w:p>
  </w:endnote>
  <w:endnote w:type="continuationSeparator" w:id="0">
    <w:p w14:paraId="6B98785E" w14:textId="77777777" w:rsidR="003408D4" w:rsidRDefault="003408D4" w:rsidP="00C0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iCs/>
        <w:sz w:val="20"/>
        <w:szCs w:val="20"/>
      </w:rPr>
      <w:id w:val="878444973"/>
      <w:docPartObj>
        <w:docPartGallery w:val="Page Numbers (Bottom of Page)"/>
        <w:docPartUnique/>
      </w:docPartObj>
    </w:sdtPr>
    <w:sdtEndPr>
      <w:rPr>
        <w:noProof/>
      </w:rPr>
    </w:sdtEndPr>
    <w:sdtContent>
      <w:p w14:paraId="4DFB4A9C" w14:textId="5F146E5E" w:rsidR="00C07B73" w:rsidRPr="00C07B73" w:rsidRDefault="00C07B73">
        <w:pPr>
          <w:pStyle w:val="Footer"/>
          <w:jc w:val="right"/>
          <w:rPr>
            <w:i/>
            <w:iCs/>
            <w:sz w:val="20"/>
            <w:szCs w:val="20"/>
          </w:rPr>
        </w:pPr>
        <w:r w:rsidRPr="00C07B73">
          <w:rPr>
            <w:i/>
            <w:iCs/>
            <w:sz w:val="20"/>
            <w:szCs w:val="20"/>
          </w:rPr>
          <w:t xml:space="preserve"> Temporary Employee Hire Policy Page </w:t>
        </w:r>
        <w:r w:rsidRPr="00C07B73">
          <w:rPr>
            <w:i/>
            <w:iCs/>
            <w:sz w:val="20"/>
            <w:szCs w:val="20"/>
          </w:rPr>
          <w:fldChar w:fldCharType="begin"/>
        </w:r>
        <w:r w:rsidRPr="00C07B73">
          <w:rPr>
            <w:i/>
            <w:iCs/>
            <w:sz w:val="20"/>
            <w:szCs w:val="20"/>
          </w:rPr>
          <w:instrText xml:space="preserve"> PAGE   \* MERGEFORMAT </w:instrText>
        </w:r>
        <w:r w:rsidRPr="00C07B73">
          <w:rPr>
            <w:i/>
            <w:iCs/>
            <w:sz w:val="20"/>
            <w:szCs w:val="20"/>
          </w:rPr>
          <w:fldChar w:fldCharType="separate"/>
        </w:r>
        <w:r w:rsidRPr="00C07B73">
          <w:rPr>
            <w:i/>
            <w:iCs/>
            <w:noProof/>
            <w:sz w:val="20"/>
            <w:szCs w:val="20"/>
          </w:rPr>
          <w:t>2</w:t>
        </w:r>
        <w:r w:rsidRPr="00C07B73">
          <w:rPr>
            <w:i/>
            <w:iCs/>
            <w:noProof/>
            <w:sz w:val="20"/>
            <w:szCs w:val="20"/>
          </w:rPr>
          <w:fldChar w:fldCharType="end"/>
        </w:r>
      </w:p>
    </w:sdtContent>
  </w:sdt>
  <w:p w14:paraId="5008A5EB" w14:textId="77777777" w:rsidR="00C07B73" w:rsidRDefault="00C0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DD855" w14:textId="77777777" w:rsidR="003408D4" w:rsidRDefault="003408D4" w:rsidP="00C07B73">
      <w:pPr>
        <w:spacing w:after="0" w:line="240" w:lineRule="auto"/>
      </w:pPr>
      <w:r>
        <w:separator/>
      </w:r>
    </w:p>
  </w:footnote>
  <w:footnote w:type="continuationSeparator" w:id="0">
    <w:p w14:paraId="44B2E014" w14:textId="77777777" w:rsidR="003408D4" w:rsidRDefault="003408D4" w:rsidP="00C07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6BE4"/>
    <w:multiLevelType w:val="hybridMultilevel"/>
    <w:tmpl w:val="CFD4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4847"/>
    <w:multiLevelType w:val="hybridMultilevel"/>
    <w:tmpl w:val="34B0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642F3"/>
    <w:multiLevelType w:val="hybridMultilevel"/>
    <w:tmpl w:val="62F2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31543"/>
    <w:multiLevelType w:val="hybridMultilevel"/>
    <w:tmpl w:val="DCB6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352E1"/>
    <w:multiLevelType w:val="hybridMultilevel"/>
    <w:tmpl w:val="61126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56040"/>
    <w:multiLevelType w:val="hybridMultilevel"/>
    <w:tmpl w:val="61126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B4B61"/>
    <w:multiLevelType w:val="hybridMultilevel"/>
    <w:tmpl w:val="13702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6433A3"/>
    <w:multiLevelType w:val="hybridMultilevel"/>
    <w:tmpl w:val="DC6A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C3165"/>
    <w:multiLevelType w:val="multilevel"/>
    <w:tmpl w:val="51A0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5575D"/>
    <w:multiLevelType w:val="hybridMultilevel"/>
    <w:tmpl w:val="82E8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B758D"/>
    <w:multiLevelType w:val="hybridMultilevel"/>
    <w:tmpl w:val="C93C8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F81CC6"/>
    <w:multiLevelType w:val="hybridMultilevel"/>
    <w:tmpl w:val="003E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06C43"/>
    <w:multiLevelType w:val="hybridMultilevel"/>
    <w:tmpl w:val="1114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91FEE"/>
    <w:multiLevelType w:val="hybridMultilevel"/>
    <w:tmpl w:val="487C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25B13"/>
    <w:multiLevelType w:val="hybridMultilevel"/>
    <w:tmpl w:val="5D52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F7BC8"/>
    <w:multiLevelType w:val="hybridMultilevel"/>
    <w:tmpl w:val="7524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15"/>
  </w:num>
  <w:num w:numId="5">
    <w:abstractNumId w:val="6"/>
  </w:num>
  <w:num w:numId="6">
    <w:abstractNumId w:val="7"/>
  </w:num>
  <w:num w:numId="7">
    <w:abstractNumId w:val="3"/>
  </w:num>
  <w:num w:numId="8">
    <w:abstractNumId w:val="12"/>
  </w:num>
  <w:num w:numId="9">
    <w:abstractNumId w:val="9"/>
  </w:num>
  <w:num w:numId="10">
    <w:abstractNumId w:val="8"/>
  </w:num>
  <w:num w:numId="11">
    <w:abstractNumId w:val="10"/>
  </w:num>
  <w:num w:numId="12">
    <w:abstractNumId w:val="2"/>
  </w:num>
  <w:num w:numId="13">
    <w:abstractNumId w:val="11"/>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FC"/>
    <w:rsid w:val="0000488F"/>
    <w:rsid w:val="00017960"/>
    <w:rsid w:val="00050168"/>
    <w:rsid w:val="000619C3"/>
    <w:rsid w:val="00074876"/>
    <w:rsid w:val="00097E10"/>
    <w:rsid w:val="000A0C09"/>
    <w:rsid w:val="000C34FC"/>
    <w:rsid w:val="000D491D"/>
    <w:rsid w:val="000E2C34"/>
    <w:rsid w:val="000E5F6A"/>
    <w:rsid w:val="000F1AD7"/>
    <w:rsid w:val="00100CFD"/>
    <w:rsid w:val="00101F1D"/>
    <w:rsid w:val="00144E67"/>
    <w:rsid w:val="0017070E"/>
    <w:rsid w:val="001727D4"/>
    <w:rsid w:val="00175A74"/>
    <w:rsid w:val="0018431B"/>
    <w:rsid w:val="0018483E"/>
    <w:rsid w:val="00185FBE"/>
    <w:rsid w:val="00186217"/>
    <w:rsid w:val="0019121E"/>
    <w:rsid w:val="00192471"/>
    <w:rsid w:val="001A0D24"/>
    <w:rsid w:val="001C11F8"/>
    <w:rsid w:val="001D3D50"/>
    <w:rsid w:val="001F4DCE"/>
    <w:rsid w:val="00203B71"/>
    <w:rsid w:val="00237E40"/>
    <w:rsid w:val="00242F63"/>
    <w:rsid w:val="002522FC"/>
    <w:rsid w:val="0025614C"/>
    <w:rsid w:val="002716FD"/>
    <w:rsid w:val="002E55E2"/>
    <w:rsid w:val="00305683"/>
    <w:rsid w:val="00313822"/>
    <w:rsid w:val="0032057F"/>
    <w:rsid w:val="00320F58"/>
    <w:rsid w:val="00325150"/>
    <w:rsid w:val="0033582F"/>
    <w:rsid w:val="003408D4"/>
    <w:rsid w:val="003477E8"/>
    <w:rsid w:val="0037084E"/>
    <w:rsid w:val="0038081B"/>
    <w:rsid w:val="00393973"/>
    <w:rsid w:val="003B0A55"/>
    <w:rsid w:val="003B0F0E"/>
    <w:rsid w:val="003D5B6D"/>
    <w:rsid w:val="003F5241"/>
    <w:rsid w:val="004034CD"/>
    <w:rsid w:val="00413E8A"/>
    <w:rsid w:val="00433D82"/>
    <w:rsid w:val="00442CFD"/>
    <w:rsid w:val="004A2299"/>
    <w:rsid w:val="004B0069"/>
    <w:rsid w:val="004F187B"/>
    <w:rsid w:val="00506AB1"/>
    <w:rsid w:val="00531596"/>
    <w:rsid w:val="0053501F"/>
    <w:rsid w:val="00585F84"/>
    <w:rsid w:val="00587B95"/>
    <w:rsid w:val="00591A91"/>
    <w:rsid w:val="005A3CFC"/>
    <w:rsid w:val="005A6A11"/>
    <w:rsid w:val="005C15CE"/>
    <w:rsid w:val="005D376F"/>
    <w:rsid w:val="005E09F9"/>
    <w:rsid w:val="005F656D"/>
    <w:rsid w:val="006000D8"/>
    <w:rsid w:val="00602914"/>
    <w:rsid w:val="006078DE"/>
    <w:rsid w:val="00622E61"/>
    <w:rsid w:val="00625156"/>
    <w:rsid w:val="006260AF"/>
    <w:rsid w:val="006348A6"/>
    <w:rsid w:val="00635586"/>
    <w:rsid w:val="006421ED"/>
    <w:rsid w:val="00642963"/>
    <w:rsid w:val="006478A4"/>
    <w:rsid w:val="00647D4F"/>
    <w:rsid w:val="00653A9A"/>
    <w:rsid w:val="00662873"/>
    <w:rsid w:val="006666C9"/>
    <w:rsid w:val="00667919"/>
    <w:rsid w:val="0069096A"/>
    <w:rsid w:val="006913C0"/>
    <w:rsid w:val="006A6233"/>
    <w:rsid w:val="006B3102"/>
    <w:rsid w:val="006C2B16"/>
    <w:rsid w:val="006F3938"/>
    <w:rsid w:val="006F456A"/>
    <w:rsid w:val="00706116"/>
    <w:rsid w:val="007138CE"/>
    <w:rsid w:val="00731107"/>
    <w:rsid w:val="00752257"/>
    <w:rsid w:val="00764AFF"/>
    <w:rsid w:val="007A04AC"/>
    <w:rsid w:val="007A4097"/>
    <w:rsid w:val="007D48EC"/>
    <w:rsid w:val="007E1C13"/>
    <w:rsid w:val="007E2B91"/>
    <w:rsid w:val="007F009A"/>
    <w:rsid w:val="007F46F1"/>
    <w:rsid w:val="00815095"/>
    <w:rsid w:val="00815FEC"/>
    <w:rsid w:val="008556B5"/>
    <w:rsid w:val="00863265"/>
    <w:rsid w:val="00865C0B"/>
    <w:rsid w:val="008758C5"/>
    <w:rsid w:val="0087765F"/>
    <w:rsid w:val="00877AD7"/>
    <w:rsid w:val="008E07F6"/>
    <w:rsid w:val="008E4053"/>
    <w:rsid w:val="008F542D"/>
    <w:rsid w:val="008F6805"/>
    <w:rsid w:val="00902A96"/>
    <w:rsid w:val="00920AA2"/>
    <w:rsid w:val="00921697"/>
    <w:rsid w:val="00930D06"/>
    <w:rsid w:val="00956E9C"/>
    <w:rsid w:val="00974D77"/>
    <w:rsid w:val="00983E71"/>
    <w:rsid w:val="00994A44"/>
    <w:rsid w:val="009A279D"/>
    <w:rsid w:val="009D40B0"/>
    <w:rsid w:val="009F1509"/>
    <w:rsid w:val="009F1EFB"/>
    <w:rsid w:val="009F4E1E"/>
    <w:rsid w:val="009F5A47"/>
    <w:rsid w:val="009F659F"/>
    <w:rsid w:val="00A350A2"/>
    <w:rsid w:val="00A41547"/>
    <w:rsid w:val="00A43A9E"/>
    <w:rsid w:val="00A60874"/>
    <w:rsid w:val="00A63D00"/>
    <w:rsid w:val="00AD41EB"/>
    <w:rsid w:val="00B07E20"/>
    <w:rsid w:val="00B23ED0"/>
    <w:rsid w:val="00B31498"/>
    <w:rsid w:val="00B355E5"/>
    <w:rsid w:val="00B52634"/>
    <w:rsid w:val="00B629FF"/>
    <w:rsid w:val="00B74B33"/>
    <w:rsid w:val="00B75518"/>
    <w:rsid w:val="00B77E3C"/>
    <w:rsid w:val="00BB1999"/>
    <w:rsid w:val="00BD4A86"/>
    <w:rsid w:val="00BE0596"/>
    <w:rsid w:val="00BF2EA9"/>
    <w:rsid w:val="00C02250"/>
    <w:rsid w:val="00C06030"/>
    <w:rsid w:val="00C07B73"/>
    <w:rsid w:val="00C16B76"/>
    <w:rsid w:val="00C2014F"/>
    <w:rsid w:val="00C212B9"/>
    <w:rsid w:val="00C364A0"/>
    <w:rsid w:val="00C36745"/>
    <w:rsid w:val="00C407A9"/>
    <w:rsid w:val="00C450EC"/>
    <w:rsid w:val="00C520B7"/>
    <w:rsid w:val="00C83CD3"/>
    <w:rsid w:val="00C86648"/>
    <w:rsid w:val="00C86A22"/>
    <w:rsid w:val="00CB22CF"/>
    <w:rsid w:val="00CB230D"/>
    <w:rsid w:val="00CB5BA0"/>
    <w:rsid w:val="00CD03E7"/>
    <w:rsid w:val="00CD4030"/>
    <w:rsid w:val="00CD5187"/>
    <w:rsid w:val="00CE3C37"/>
    <w:rsid w:val="00CF0F81"/>
    <w:rsid w:val="00D11193"/>
    <w:rsid w:val="00D12055"/>
    <w:rsid w:val="00D35087"/>
    <w:rsid w:val="00D53FE1"/>
    <w:rsid w:val="00D540C4"/>
    <w:rsid w:val="00D56D92"/>
    <w:rsid w:val="00D745A2"/>
    <w:rsid w:val="00D76642"/>
    <w:rsid w:val="00D84F53"/>
    <w:rsid w:val="00D856CA"/>
    <w:rsid w:val="00D86304"/>
    <w:rsid w:val="00D87C87"/>
    <w:rsid w:val="00DA4204"/>
    <w:rsid w:val="00DC6EE9"/>
    <w:rsid w:val="00DD3C15"/>
    <w:rsid w:val="00E2266B"/>
    <w:rsid w:val="00E25278"/>
    <w:rsid w:val="00E54428"/>
    <w:rsid w:val="00E661C6"/>
    <w:rsid w:val="00E807D8"/>
    <w:rsid w:val="00ED5D2E"/>
    <w:rsid w:val="00ED79CF"/>
    <w:rsid w:val="00EF7D17"/>
    <w:rsid w:val="00F1446A"/>
    <w:rsid w:val="00F14B22"/>
    <w:rsid w:val="00F152B5"/>
    <w:rsid w:val="00F16425"/>
    <w:rsid w:val="00F4121C"/>
    <w:rsid w:val="00F7458E"/>
    <w:rsid w:val="00F80691"/>
    <w:rsid w:val="00FA6DAC"/>
    <w:rsid w:val="00FB34A4"/>
    <w:rsid w:val="00FC34EC"/>
    <w:rsid w:val="00FC6A77"/>
    <w:rsid w:val="00FD15FA"/>
    <w:rsid w:val="00FD4A68"/>
    <w:rsid w:val="00FE0CB6"/>
    <w:rsid w:val="00FE1D01"/>
    <w:rsid w:val="00FF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BAC80"/>
  <w15:chartTrackingRefBased/>
  <w15:docId w15:val="{2CA0E405-5837-4012-95DD-1AA564C0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B0"/>
    <w:pPr>
      <w:ind w:left="720"/>
      <w:contextualSpacing/>
    </w:pPr>
  </w:style>
  <w:style w:type="character" w:styleId="Hyperlink">
    <w:name w:val="Hyperlink"/>
    <w:basedOn w:val="DefaultParagraphFont"/>
    <w:uiPriority w:val="99"/>
    <w:unhideWhenUsed/>
    <w:rsid w:val="008556B5"/>
    <w:rPr>
      <w:color w:val="0563C1" w:themeColor="hyperlink"/>
      <w:u w:val="single"/>
    </w:rPr>
  </w:style>
  <w:style w:type="character" w:styleId="UnresolvedMention">
    <w:name w:val="Unresolved Mention"/>
    <w:basedOn w:val="DefaultParagraphFont"/>
    <w:uiPriority w:val="99"/>
    <w:semiHidden/>
    <w:unhideWhenUsed/>
    <w:rsid w:val="008556B5"/>
    <w:rPr>
      <w:color w:val="605E5C"/>
      <w:shd w:val="clear" w:color="auto" w:fill="E1DFDD"/>
    </w:rPr>
  </w:style>
  <w:style w:type="table" w:styleId="TableGrid">
    <w:name w:val="Table Grid"/>
    <w:basedOn w:val="TableNormal"/>
    <w:uiPriority w:val="39"/>
    <w:rsid w:val="00FF5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5FEC"/>
    <w:rPr>
      <w:color w:val="954F72" w:themeColor="followedHyperlink"/>
      <w:u w:val="single"/>
    </w:rPr>
  </w:style>
  <w:style w:type="paragraph" w:styleId="BalloonText">
    <w:name w:val="Balloon Text"/>
    <w:basedOn w:val="Normal"/>
    <w:link w:val="BalloonTextChar"/>
    <w:uiPriority w:val="99"/>
    <w:semiHidden/>
    <w:unhideWhenUsed/>
    <w:rsid w:val="00D5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D92"/>
    <w:rPr>
      <w:rFonts w:ascii="Segoe UI" w:hAnsi="Segoe UI" w:cs="Segoe UI"/>
      <w:sz w:val="18"/>
      <w:szCs w:val="18"/>
    </w:rPr>
  </w:style>
  <w:style w:type="character" w:styleId="CommentReference">
    <w:name w:val="annotation reference"/>
    <w:basedOn w:val="DefaultParagraphFont"/>
    <w:uiPriority w:val="99"/>
    <w:semiHidden/>
    <w:unhideWhenUsed/>
    <w:rsid w:val="00D56D92"/>
    <w:rPr>
      <w:sz w:val="16"/>
      <w:szCs w:val="16"/>
    </w:rPr>
  </w:style>
  <w:style w:type="paragraph" w:styleId="CommentText">
    <w:name w:val="annotation text"/>
    <w:basedOn w:val="Normal"/>
    <w:link w:val="CommentTextChar"/>
    <w:uiPriority w:val="99"/>
    <w:semiHidden/>
    <w:unhideWhenUsed/>
    <w:rsid w:val="00D56D92"/>
    <w:pPr>
      <w:spacing w:line="240" w:lineRule="auto"/>
    </w:pPr>
    <w:rPr>
      <w:sz w:val="20"/>
      <w:szCs w:val="20"/>
    </w:rPr>
  </w:style>
  <w:style w:type="character" w:customStyle="1" w:styleId="CommentTextChar">
    <w:name w:val="Comment Text Char"/>
    <w:basedOn w:val="DefaultParagraphFont"/>
    <w:link w:val="CommentText"/>
    <w:uiPriority w:val="99"/>
    <w:semiHidden/>
    <w:rsid w:val="00D56D92"/>
    <w:rPr>
      <w:sz w:val="20"/>
      <w:szCs w:val="20"/>
    </w:rPr>
  </w:style>
  <w:style w:type="paragraph" w:styleId="CommentSubject">
    <w:name w:val="annotation subject"/>
    <w:basedOn w:val="CommentText"/>
    <w:next w:val="CommentText"/>
    <w:link w:val="CommentSubjectChar"/>
    <w:uiPriority w:val="99"/>
    <w:semiHidden/>
    <w:unhideWhenUsed/>
    <w:rsid w:val="00D56D92"/>
    <w:rPr>
      <w:b/>
      <w:bCs/>
    </w:rPr>
  </w:style>
  <w:style w:type="character" w:customStyle="1" w:styleId="CommentSubjectChar">
    <w:name w:val="Comment Subject Char"/>
    <w:basedOn w:val="CommentTextChar"/>
    <w:link w:val="CommentSubject"/>
    <w:uiPriority w:val="99"/>
    <w:semiHidden/>
    <w:rsid w:val="00D56D92"/>
    <w:rPr>
      <w:b/>
      <w:bCs/>
      <w:sz w:val="20"/>
      <w:szCs w:val="20"/>
    </w:rPr>
  </w:style>
  <w:style w:type="paragraph" w:styleId="Header">
    <w:name w:val="header"/>
    <w:basedOn w:val="Normal"/>
    <w:link w:val="HeaderChar"/>
    <w:uiPriority w:val="99"/>
    <w:unhideWhenUsed/>
    <w:rsid w:val="00C07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73"/>
  </w:style>
  <w:style w:type="paragraph" w:styleId="Footer">
    <w:name w:val="footer"/>
    <w:basedOn w:val="Normal"/>
    <w:link w:val="FooterChar"/>
    <w:uiPriority w:val="99"/>
    <w:unhideWhenUsed/>
    <w:rsid w:val="00C07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72291">
      <w:bodyDiv w:val="1"/>
      <w:marLeft w:val="0"/>
      <w:marRight w:val="0"/>
      <w:marTop w:val="0"/>
      <w:marBottom w:val="0"/>
      <w:divBdr>
        <w:top w:val="none" w:sz="0" w:space="0" w:color="auto"/>
        <w:left w:val="none" w:sz="0" w:space="0" w:color="auto"/>
        <w:bottom w:val="none" w:sz="0" w:space="0" w:color="auto"/>
        <w:right w:val="none" w:sz="0" w:space="0" w:color="auto"/>
      </w:divBdr>
    </w:div>
    <w:div w:id="1074157398">
      <w:bodyDiv w:val="1"/>
      <w:marLeft w:val="0"/>
      <w:marRight w:val="0"/>
      <w:marTop w:val="0"/>
      <w:marBottom w:val="0"/>
      <w:divBdr>
        <w:top w:val="none" w:sz="0" w:space="0" w:color="auto"/>
        <w:left w:val="none" w:sz="0" w:space="0" w:color="auto"/>
        <w:bottom w:val="none" w:sz="0" w:space="0" w:color="auto"/>
        <w:right w:val="none" w:sz="0" w:space="0" w:color="auto"/>
      </w:divBdr>
    </w:div>
    <w:div w:id="15521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paul.gov/departments/human-resources/labor-relations/civil-service-rules/12-temporary-employment" TargetMode="External"/><Relationship Id="rId13" Type="http://schemas.openxmlformats.org/officeDocument/2006/relationships/hyperlink" Target="https://stpaulmn.sharepoint.com/SitePages/Off-Boarding.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paul.gov/departments/human-resources/policies-procedures-rules-and-guidelin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paulmn.sharepoint.com/Forms/HR%20Forms/New%20Employee%20Packe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paulmn.sharepoint.com/Forms/HR%20Forms/New%20Employee%20Packet.pdf" TargetMode="External"/><Relationship Id="rId4" Type="http://schemas.openxmlformats.org/officeDocument/2006/relationships/webSettings" Target="webSettings.xml"/><Relationship Id="rId9" Type="http://schemas.openxmlformats.org/officeDocument/2006/relationships/hyperlink" Target="https://stpaulmn.sharepoint.com/Forms/Documents/New%20Employee%20Packet.pdf?csf=1&amp;e=9Ojpvv&amp;cid=19a3c279-77bc-488b-8150-ccb3d5b49f25"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Lisa (CI-StPaul)</dc:creator>
  <cp:keywords/>
  <dc:description/>
  <cp:lastModifiedBy>McKeown, Lisa (CI-StPaul)</cp:lastModifiedBy>
  <cp:revision>2</cp:revision>
  <dcterms:created xsi:type="dcterms:W3CDTF">2021-05-28T20:32:00Z</dcterms:created>
  <dcterms:modified xsi:type="dcterms:W3CDTF">2021-05-28T20:32:00Z</dcterms:modified>
</cp:coreProperties>
</file>