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06E3" w14:textId="1C98FE1E" w:rsidR="00C6121B" w:rsidRPr="00C6121B" w:rsidRDefault="00C6121B" w:rsidP="0058017A">
      <w:pPr>
        <w:rPr>
          <w:rFonts w:ascii="Tms Rmn 11pt" w:hAnsi="Tms Rmn 11pt"/>
          <w:sz w:val="22"/>
          <w:szCs w:val="22"/>
        </w:rPr>
        <w:sectPr w:rsidR="00C6121B" w:rsidRPr="00C6121B" w:rsidSect="00C7705C">
          <w:headerReference w:type="default" r:id="rId11"/>
          <w:footerReference w:type="default" r:id="rId12"/>
          <w:type w:val="continuous"/>
          <w:pgSz w:w="12240" w:h="15840"/>
          <w:pgMar w:top="92" w:right="720" w:bottom="720" w:left="720" w:header="720" w:footer="288" w:gutter="0"/>
          <w:cols w:space="720"/>
          <w:docGrid w:linePitch="326"/>
        </w:sectPr>
      </w:pPr>
    </w:p>
    <w:p w14:paraId="44ED7F28" w14:textId="77777777" w:rsidR="008971B1" w:rsidRPr="008971B1" w:rsidRDefault="008971B1" w:rsidP="0058017A">
      <w:pPr>
        <w:jc w:val="center"/>
        <w:rPr>
          <w:rFonts w:ascii="Open Sans" w:hAnsi="Open Sans" w:cs="Open Sans"/>
          <w:b/>
          <w:bCs/>
          <w:sz w:val="36"/>
          <w:szCs w:val="36"/>
        </w:rPr>
      </w:pPr>
      <w:r w:rsidRPr="008971B1">
        <w:rPr>
          <w:rFonts w:ascii="Open Sans" w:hAnsi="Open Sans" w:cs="Open Sans"/>
          <w:b/>
          <w:bCs/>
          <w:sz w:val="36"/>
          <w:szCs w:val="36"/>
        </w:rPr>
        <w:t>Police Officer Medical Standards/Guidelines</w:t>
      </w:r>
    </w:p>
    <w:p w14:paraId="663407E2" w14:textId="77777777" w:rsidR="008971B1" w:rsidRPr="008971B1" w:rsidRDefault="008971B1" w:rsidP="008971B1">
      <w:pPr>
        <w:ind w:firstLine="720"/>
        <w:jc w:val="center"/>
        <w:rPr>
          <w:rFonts w:ascii="Open Sans" w:hAnsi="Open Sans" w:cs="Open Sans"/>
          <w:b/>
          <w:bCs/>
          <w:sz w:val="22"/>
          <w:szCs w:val="22"/>
        </w:rPr>
      </w:pPr>
    </w:p>
    <w:p w14:paraId="751F4795" w14:textId="77777777" w:rsidR="008971B1" w:rsidRPr="008971B1" w:rsidRDefault="008971B1" w:rsidP="008971B1">
      <w:pPr>
        <w:ind w:left="360"/>
        <w:rPr>
          <w:rFonts w:ascii="Open Sans" w:hAnsi="Open Sans" w:cs="Open Sans"/>
          <w:sz w:val="20"/>
          <w:szCs w:val="20"/>
        </w:rPr>
      </w:pPr>
      <w:r w:rsidRPr="008971B1">
        <w:rPr>
          <w:rFonts w:ascii="Open Sans" w:hAnsi="Open Sans" w:cs="Open Sans"/>
          <w:sz w:val="20"/>
          <w:szCs w:val="20"/>
        </w:rPr>
        <w:t xml:space="preserve">The following medical standards/guidelines will be applied to all applicants applying for the position of Saint Paul Police Officer. </w:t>
      </w:r>
    </w:p>
    <w:p w14:paraId="4C0A2134" w14:textId="77777777" w:rsidR="008971B1" w:rsidRPr="008971B1" w:rsidRDefault="008971B1" w:rsidP="008971B1">
      <w:pPr>
        <w:ind w:left="360" w:hanging="360"/>
        <w:rPr>
          <w:rFonts w:ascii="Open Sans" w:hAnsi="Open Sans" w:cs="Open Sans"/>
          <w:sz w:val="20"/>
          <w:szCs w:val="20"/>
        </w:rPr>
      </w:pPr>
    </w:p>
    <w:p w14:paraId="3BA8AE51" w14:textId="77777777" w:rsidR="008971B1" w:rsidRPr="008971B1" w:rsidRDefault="008971B1" w:rsidP="008971B1">
      <w:pPr>
        <w:ind w:left="360"/>
        <w:rPr>
          <w:rFonts w:ascii="Open Sans" w:hAnsi="Open Sans" w:cs="Open Sans"/>
          <w:sz w:val="20"/>
          <w:szCs w:val="20"/>
        </w:rPr>
      </w:pPr>
      <w:r w:rsidRPr="008971B1">
        <w:rPr>
          <w:rFonts w:ascii="Open Sans" w:hAnsi="Open Sans" w:cs="Open Sans"/>
          <w:b/>
          <w:bCs/>
          <w:sz w:val="20"/>
          <w:szCs w:val="20"/>
          <w:u w:val="single"/>
        </w:rPr>
        <w:t>VISION PERFORMANCE STANDARDS FOR THE POSITION OF POLICE OFFICER</w:t>
      </w:r>
      <w:r w:rsidRPr="008971B1">
        <w:rPr>
          <w:rFonts w:ascii="Open Sans" w:hAnsi="Open Sans" w:cs="Open Sans"/>
          <w:sz w:val="20"/>
          <w:szCs w:val="20"/>
        </w:rPr>
        <w:t xml:space="preserve"> </w:t>
      </w:r>
    </w:p>
    <w:p w14:paraId="51343EE1" w14:textId="77777777" w:rsidR="008971B1" w:rsidRPr="008971B1" w:rsidRDefault="008971B1" w:rsidP="008971B1">
      <w:pPr>
        <w:ind w:left="360" w:hanging="360"/>
        <w:rPr>
          <w:rFonts w:ascii="Open Sans" w:hAnsi="Open Sans" w:cs="Open Sans"/>
          <w:sz w:val="20"/>
          <w:szCs w:val="20"/>
        </w:rPr>
      </w:pPr>
    </w:p>
    <w:p w14:paraId="5C5D1554" w14:textId="77777777" w:rsidR="008971B1" w:rsidRPr="008971B1" w:rsidRDefault="008971B1" w:rsidP="008971B1">
      <w:pPr>
        <w:ind w:left="360"/>
        <w:rPr>
          <w:rFonts w:ascii="Open Sans" w:hAnsi="Open Sans" w:cs="Open Sans"/>
          <w:sz w:val="20"/>
          <w:szCs w:val="20"/>
          <w:u w:val="single"/>
        </w:rPr>
      </w:pPr>
      <w:r w:rsidRPr="008971B1">
        <w:rPr>
          <w:rFonts w:ascii="Open Sans" w:hAnsi="Open Sans" w:cs="Open Sans"/>
          <w:sz w:val="20"/>
          <w:szCs w:val="20"/>
          <w:u w:val="single"/>
        </w:rPr>
        <w:t xml:space="preserve">A. Visual Acuity Standard: </w:t>
      </w:r>
    </w:p>
    <w:p w14:paraId="7A081E50" w14:textId="77777777" w:rsidR="008971B1" w:rsidRPr="008971B1" w:rsidRDefault="008971B1" w:rsidP="008971B1">
      <w:pPr>
        <w:ind w:left="360" w:hanging="360"/>
        <w:rPr>
          <w:rFonts w:ascii="Open Sans" w:hAnsi="Open Sans" w:cs="Open Sans"/>
          <w:sz w:val="20"/>
          <w:szCs w:val="20"/>
        </w:rPr>
      </w:pPr>
      <w:r w:rsidRPr="008971B1">
        <w:rPr>
          <w:rFonts w:ascii="Open Sans" w:hAnsi="Open Sans" w:cs="Open Sans"/>
          <w:sz w:val="20"/>
          <w:szCs w:val="20"/>
        </w:rPr>
        <w:t xml:space="preserve">     </w:t>
      </w:r>
      <w:r w:rsidRPr="008971B1">
        <w:rPr>
          <w:rFonts w:ascii="Open Sans" w:hAnsi="Open Sans" w:cs="Open Sans"/>
          <w:sz w:val="20"/>
          <w:szCs w:val="20"/>
        </w:rPr>
        <w:tab/>
        <w:t xml:space="preserve"> Distance vision: </w:t>
      </w:r>
    </w:p>
    <w:p w14:paraId="247FEB5C" w14:textId="77777777" w:rsidR="008971B1" w:rsidRPr="008971B1" w:rsidRDefault="008971B1" w:rsidP="008971B1">
      <w:pPr>
        <w:ind w:left="360" w:hanging="360"/>
        <w:rPr>
          <w:rFonts w:ascii="Open Sans" w:hAnsi="Open Sans" w:cs="Open Sans"/>
          <w:sz w:val="20"/>
          <w:szCs w:val="20"/>
        </w:rPr>
      </w:pPr>
      <w:r w:rsidRPr="008971B1">
        <w:rPr>
          <w:rFonts w:ascii="Open Sans" w:hAnsi="Open Sans" w:cs="Open Sans"/>
          <w:sz w:val="20"/>
          <w:szCs w:val="20"/>
        </w:rPr>
        <w:t xml:space="preserve">         </w:t>
      </w:r>
      <w:r w:rsidRPr="008971B1">
        <w:rPr>
          <w:rFonts w:ascii="Open Sans" w:hAnsi="Open Sans" w:cs="Open Sans"/>
          <w:sz w:val="20"/>
          <w:szCs w:val="20"/>
        </w:rPr>
        <w:tab/>
        <w:t xml:space="preserve"> Both eyes- (corrected or uncorrected) must be 20/20 </w:t>
      </w:r>
    </w:p>
    <w:p w14:paraId="5A74EB7B" w14:textId="77777777" w:rsidR="008971B1" w:rsidRPr="008971B1" w:rsidRDefault="008971B1" w:rsidP="008971B1">
      <w:pPr>
        <w:ind w:left="360" w:hanging="360"/>
        <w:rPr>
          <w:rFonts w:ascii="Open Sans" w:hAnsi="Open Sans" w:cs="Open Sans"/>
          <w:sz w:val="20"/>
          <w:szCs w:val="20"/>
        </w:rPr>
      </w:pPr>
      <w:r w:rsidRPr="008971B1">
        <w:rPr>
          <w:rFonts w:ascii="Open Sans" w:hAnsi="Open Sans" w:cs="Open Sans"/>
          <w:sz w:val="20"/>
          <w:szCs w:val="20"/>
        </w:rPr>
        <w:t xml:space="preserve">         </w:t>
      </w:r>
      <w:r w:rsidRPr="008971B1">
        <w:rPr>
          <w:rFonts w:ascii="Open Sans" w:hAnsi="Open Sans" w:cs="Open Sans"/>
          <w:sz w:val="20"/>
          <w:szCs w:val="20"/>
        </w:rPr>
        <w:tab/>
        <w:t xml:space="preserve"> Individual- (corrected or uncorrected) must be 20/40 or better </w:t>
      </w:r>
      <w:r w:rsidRPr="008971B1">
        <w:rPr>
          <w:rFonts w:ascii="Open Sans" w:hAnsi="Open Sans" w:cs="Open Sans"/>
          <w:sz w:val="20"/>
          <w:szCs w:val="20"/>
        </w:rPr>
        <w:tab/>
      </w:r>
    </w:p>
    <w:p w14:paraId="527ABD53" w14:textId="7FC0F554" w:rsidR="008971B1" w:rsidRPr="008971B1" w:rsidRDefault="008971B1" w:rsidP="008971B1">
      <w:pPr>
        <w:ind w:left="360" w:hanging="360"/>
        <w:rPr>
          <w:rFonts w:ascii="Open Sans" w:hAnsi="Open Sans" w:cs="Open Sans"/>
          <w:sz w:val="20"/>
          <w:szCs w:val="20"/>
        </w:rPr>
      </w:pPr>
      <w:r w:rsidRPr="008971B1">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t xml:space="preserve"> </w:t>
      </w:r>
      <w:r w:rsidRPr="008971B1">
        <w:rPr>
          <w:rFonts w:ascii="Open Sans" w:hAnsi="Open Sans" w:cs="Open Sans"/>
          <w:sz w:val="20"/>
          <w:szCs w:val="20"/>
        </w:rPr>
        <w:t xml:space="preserve">Uncorrected- must be 20/100 or better with BOTH eyes </w:t>
      </w:r>
    </w:p>
    <w:p w14:paraId="1AD46145" w14:textId="3A51789E" w:rsidR="008971B1" w:rsidRPr="008971B1" w:rsidRDefault="008971B1" w:rsidP="0058017A">
      <w:pPr>
        <w:ind w:firstLine="360"/>
        <w:rPr>
          <w:rFonts w:ascii="Open Sans" w:hAnsi="Open Sans" w:cs="Open Sans"/>
          <w:sz w:val="20"/>
          <w:szCs w:val="20"/>
        </w:rPr>
      </w:pPr>
      <w:r w:rsidRPr="008971B1">
        <w:rPr>
          <w:rFonts w:ascii="Open Sans" w:hAnsi="Open Sans" w:cs="Open Sans"/>
          <w:sz w:val="20"/>
          <w:szCs w:val="20"/>
        </w:rPr>
        <w:t xml:space="preserve"> Near vision: </w:t>
      </w:r>
    </w:p>
    <w:p w14:paraId="60A45C38" w14:textId="77777777" w:rsidR="008971B1" w:rsidRPr="008971B1" w:rsidRDefault="008971B1" w:rsidP="008971B1">
      <w:pPr>
        <w:ind w:left="360" w:hanging="360"/>
        <w:rPr>
          <w:rFonts w:ascii="Open Sans" w:hAnsi="Open Sans" w:cs="Open Sans"/>
          <w:sz w:val="20"/>
          <w:szCs w:val="20"/>
        </w:rPr>
      </w:pPr>
      <w:r w:rsidRPr="008971B1">
        <w:rPr>
          <w:rFonts w:ascii="Open Sans" w:hAnsi="Open Sans" w:cs="Open Sans"/>
          <w:sz w:val="20"/>
          <w:szCs w:val="20"/>
        </w:rPr>
        <w:t xml:space="preserve">               (corrected or uncorrected) 20/40 or better in at least one eye </w:t>
      </w:r>
    </w:p>
    <w:p w14:paraId="1C72CD7A" w14:textId="77777777" w:rsidR="008971B1" w:rsidRPr="008971B1" w:rsidRDefault="008971B1" w:rsidP="008971B1">
      <w:pPr>
        <w:ind w:left="360" w:hanging="360"/>
        <w:rPr>
          <w:rFonts w:ascii="Open Sans" w:hAnsi="Open Sans" w:cs="Open Sans"/>
          <w:sz w:val="20"/>
          <w:szCs w:val="20"/>
        </w:rPr>
      </w:pPr>
    </w:p>
    <w:p w14:paraId="7B4181D5" w14:textId="77777777" w:rsidR="008971B1" w:rsidRPr="008971B1" w:rsidRDefault="008971B1" w:rsidP="008971B1">
      <w:pPr>
        <w:ind w:left="360"/>
        <w:rPr>
          <w:rFonts w:ascii="Open Sans" w:hAnsi="Open Sans" w:cs="Open Sans"/>
          <w:sz w:val="20"/>
          <w:szCs w:val="20"/>
          <w:u w:val="single"/>
        </w:rPr>
      </w:pPr>
      <w:r w:rsidRPr="008971B1">
        <w:rPr>
          <w:rFonts w:ascii="Open Sans" w:hAnsi="Open Sans" w:cs="Open Sans"/>
          <w:sz w:val="20"/>
          <w:szCs w:val="20"/>
          <w:u w:val="single"/>
        </w:rPr>
        <w:t>B. Color Discrimination Standard:</w:t>
      </w:r>
    </w:p>
    <w:p w14:paraId="1B1EB148" w14:textId="5F1D3594" w:rsidR="008971B1" w:rsidRPr="008971B1" w:rsidRDefault="008971B1" w:rsidP="008971B1">
      <w:pPr>
        <w:numPr>
          <w:ilvl w:val="0"/>
          <w:numId w:val="1"/>
        </w:numPr>
        <w:rPr>
          <w:rFonts w:ascii="Open Sans" w:hAnsi="Open Sans" w:cs="Open Sans"/>
          <w:sz w:val="20"/>
          <w:szCs w:val="20"/>
        </w:rPr>
      </w:pPr>
      <w:r w:rsidRPr="008971B1">
        <w:rPr>
          <w:rFonts w:ascii="Open Sans" w:hAnsi="Open Sans" w:cs="Open Sans"/>
          <w:sz w:val="20"/>
          <w:szCs w:val="20"/>
        </w:rPr>
        <w:t xml:space="preserve">Successful passage of the Farnsworth D-15 </w:t>
      </w:r>
      <w:proofErr w:type="gramStart"/>
      <w:r w:rsidRPr="008971B1">
        <w:rPr>
          <w:rFonts w:ascii="Open Sans" w:hAnsi="Open Sans" w:cs="Open Sans"/>
          <w:sz w:val="20"/>
          <w:szCs w:val="20"/>
        </w:rPr>
        <w:t>color</w:t>
      </w:r>
      <w:proofErr w:type="gramEnd"/>
      <w:r w:rsidRPr="008971B1">
        <w:rPr>
          <w:rFonts w:ascii="Open Sans" w:hAnsi="Open Sans" w:cs="Open Sans"/>
          <w:sz w:val="20"/>
          <w:szCs w:val="20"/>
        </w:rPr>
        <w:t xml:space="preserve"> arrangement test (if unable to correctly recognize at least nine of 14 plates in a standard color plate test). </w:t>
      </w:r>
    </w:p>
    <w:p w14:paraId="0383D606" w14:textId="77777777" w:rsidR="008971B1" w:rsidRPr="008971B1" w:rsidRDefault="008971B1" w:rsidP="008971B1">
      <w:pPr>
        <w:ind w:left="360" w:hanging="360"/>
        <w:rPr>
          <w:rFonts w:ascii="Open Sans" w:hAnsi="Open Sans" w:cs="Open Sans"/>
          <w:sz w:val="20"/>
          <w:szCs w:val="20"/>
        </w:rPr>
      </w:pPr>
    </w:p>
    <w:p w14:paraId="73B666DD" w14:textId="77777777" w:rsidR="008971B1" w:rsidRPr="008971B1" w:rsidRDefault="008971B1" w:rsidP="008971B1">
      <w:pPr>
        <w:ind w:left="360"/>
        <w:rPr>
          <w:rFonts w:ascii="Open Sans" w:hAnsi="Open Sans" w:cs="Open Sans"/>
          <w:sz w:val="20"/>
          <w:szCs w:val="20"/>
          <w:u w:val="single"/>
        </w:rPr>
      </w:pPr>
      <w:r w:rsidRPr="008971B1">
        <w:rPr>
          <w:rFonts w:ascii="Open Sans" w:hAnsi="Open Sans" w:cs="Open Sans"/>
          <w:sz w:val="20"/>
          <w:szCs w:val="20"/>
          <w:u w:val="single"/>
        </w:rPr>
        <w:t xml:space="preserve">C. Peripheral Vision Standard: </w:t>
      </w:r>
    </w:p>
    <w:p w14:paraId="37951F73" w14:textId="77777777" w:rsidR="008971B1" w:rsidRPr="008971B1" w:rsidRDefault="008971B1" w:rsidP="008971B1">
      <w:pPr>
        <w:numPr>
          <w:ilvl w:val="0"/>
          <w:numId w:val="1"/>
        </w:numPr>
        <w:rPr>
          <w:rFonts w:ascii="Open Sans" w:hAnsi="Open Sans" w:cs="Open Sans"/>
          <w:sz w:val="20"/>
          <w:szCs w:val="20"/>
          <w:u w:val="single"/>
        </w:rPr>
      </w:pPr>
      <w:r w:rsidRPr="008971B1">
        <w:rPr>
          <w:rFonts w:ascii="Open Sans" w:hAnsi="Open Sans" w:cs="Open Sans"/>
          <w:sz w:val="20"/>
          <w:szCs w:val="20"/>
        </w:rPr>
        <w:t xml:space="preserve">Minimum of 120 degrees (360 degrees being a full circle) of total horizontal field in each eye. </w:t>
      </w:r>
    </w:p>
    <w:p w14:paraId="6EE45FA8" w14:textId="77777777" w:rsidR="008971B1" w:rsidRPr="008971B1" w:rsidRDefault="008971B1" w:rsidP="008971B1">
      <w:pPr>
        <w:ind w:left="360" w:hanging="360"/>
        <w:rPr>
          <w:rFonts w:ascii="Open Sans" w:hAnsi="Open Sans" w:cs="Open Sans"/>
          <w:sz w:val="20"/>
          <w:szCs w:val="20"/>
        </w:rPr>
      </w:pPr>
    </w:p>
    <w:p w14:paraId="4A36AAEA" w14:textId="77777777" w:rsidR="008971B1" w:rsidRPr="008971B1" w:rsidRDefault="008971B1" w:rsidP="008971B1">
      <w:pPr>
        <w:ind w:left="360"/>
        <w:rPr>
          <w:rFonts w:ascii="Open Sans" w:hAnsi="Open Sans" w:cs="Open Sans"/>
          <w:sz w:val="20"/>
          <w:szCs w:val="20"/>
          <w:u w:val="single"/>
        </w:rPr>
      </w:pPr>
      <w:r w:rsidRPr="008971B1">
        <w:rPr>
          <w:rFonts w:ascii="Open Sans" w:hAnsi="Open Sans" w:cs="Open Sans"/>
          <w:sz w:val="20"/>
          <w:szCs w:val="20"/>
          <w:u w:val="single"/>
        </w:rPr>
        <w:t>D. Depth Perception Standard:</w:t>
      </w:r>
    </w:p>
    <w:p w14:paraId="2E47A8A7" w14:textId="77777777" w:rsidR="008971B1" w:rsidRPr="008971B1" w:rsidRDefault="008971B1" w:rsidP="008971B1">
      <w:pPr>
        <w:numPr>
          <w:ilvl w:val="0"/>
          <w:numId w:val="1"/>
        </w:numPr>
        <w:rPr>
          <w:rFonts w:ascii="Open Sans" w:hAnsi="Open Sans" w:cs="Open Sans"/>
          <w:sz w:val="20"/>
          <w:szCs w:val="20"/>
        </w:rPr>
      </w:pPr>
      <w:r w:rsidRPr="008971B1">
        <w:rPr>
          <w:rFonts w:ascii="Open Sans" w:hAnsi="Open Sans" w:cs="Open Sans"/>
          <w:sz w:val="20"/>
          <w:szCs w:val="20"/>
        </w:rPr>
        <w:t xml:space="preserve">Successful identification of six out of nine test items in the </w:t>
      </w:r>
      <w:proofErr w:type="spellStart"/>
      <w:r w:rsidRPr="008971B1">
        <w:rPr>
          <w:rFonts w:ascii="Open Sans" w:hAnsi="Open Sans" w:cs="Open Sans"/>
          <w:sz w:val="20"/>
          <w:szCs w:val="20"/>
        </w:rPr>
        <w:t>Titmus</w:t>
      </w:r>
      <w:proofErr w:type="spellEnd"/>
      <w:r w:rsidRPr="008971B1">
        <w:rPr>
          <w:rFonts w:ascii="Open Sans" w:hAnsi="Open Sans" w:cs="Open Sans"/>
          <w:sz w:val="20"/>
          <w:szCs w:val="20"/>
        </w:rPr>
        <w:t xml:space="preserve"> Stereo Test. </w:t>
      </w:r>
    </w:p>
    <w:p w14:paraId="0E1DD9C0" w14:textId="77777777" w:rsidR="008971B1" w:rsidRPr="008971B1" w:rsidRDefault="008971B1" w:rsidP="008971B1">
      <w:pPr>
        <w:ind w:left="360" w:hanging="360"/>
        <w:rPr>
          <w:rFonts w:ascii="Open Sans" w:hAnsi="Open Sans" w:cs="Open Sans"/>
          <w:sz w:val="20"/>
          <w:szCs w:val="20"/>
        </w:rPr>
      </w:pPr>
    </w:p>
    <w:p w14:paraId="2A374E61" w14:textId="77777777" w:rsidR="008971B1" w:rsidRPr="008971B1" w:rsidRDefault="008971B1" w:rsidP="008971B1">
      <w:pPr>
        <w:ind w:left="360"/>
        <w:rPr>
          <w:rFonts w:ascii="Open Sans" w:hAnsi="Open Sans" w:cs="Open Sans"/>
          <w:sz w:val="20"/>
          <w:szCs w:val="20"/>
        </w:rPr>
      </w:pPr>
      <w:r w:rsidRPr="008971B1">
        <w:rPr>
          <w:rFonts w:ascii="Open Sans" w:hAnsi="Open Sans" w:cs="Open Sans"/>
          <w:b/>
          <w:bCs/>
          <w:sz w:val="20"/>
          <w:szCs w:val="20"/>
          <w:u w:val="single"/>
        </w:rPr>
        <w:t>HEARING PERFORMANCE GUIDELINE FOR THE POSITION OF POLICE OFFICER</w:t>
      </w:r>
      <w:r w:rsidRPr="008971B1">
        <w:rPr>
          <w:rFonts w:ascii="Open Sans" w:hAnsi="Open Sans" w:cs="Open Sans"/>
          <w:sz w:val="20"/>
          <w:szCs w:val="20"/>
        </w:rPr>
        <w:t xml:space="preserve"> </w:t>
      </w:r>
    </w:p>
    <w:p w14:paraId="26C6987C" w14:textId="77777777" w:rsidR="008971B1" w:rsidRPr="008971B1" w:rsidRDefault="008971B1" w:rsidP="008971B1">
      <w:pPr>
        <w:ind w:left="360" w:hanging="360"/>
        <w:rPr>
          <w:rFonts w:ascii="Open Sans" w:hAnsi="Open Sans" w:cs="Open Sans"/>
          <w:sz w:val="20"/>
          <w:szCs w:val="20"/>
        </w:rPr>
      </w:pPr>
    </w:p>
    <w:p w14:paraId="16C5B324" w14:textId="52218F27" w:rsidR="008971B1" w:rsidRPr="008971B1" w:rsidRDefault="008971B1" w:rsidP="008971B1">
      <w:pPr>
        <w:numPr>
          <w:ilvl w:val="0"/>
          <w:numId w:val="1"/>
        </w:numPr>
        <w:rPr>
          <w:rFonts w:ascii="Open Sans" w:hAnsi="Open Sans" w:cs="Open Sans"/>
          <w:sz w:val="20"/>
          <w:szCs w:val="20"/>
        </w:rPr>
      </w:pPr>
      <w:r w:rsidRPr="008971B1">
        <w:rPr>
          <w:rFonts w:ascii="Open Sans" w:hAnsi="Open Sans" w:cs="Open Sans"/>
          <w:sz w:val="20"/>
          <w:szCs w:val="20"/>
        </w:rPr>
        <w:t>No hearing loss average above 25 dB or less in each ear at each frequency of 500, 1000, 2000, and 3000 Hertz.</w:t>
      </w:r>
    </w:p>
    <w:p w14:paraId="397630CA" w14:textId="77777777" w:rsidR="008971B1" w:rsidRPr="008971B1" w:rsidRDefault="008971B1" w:rsidP="008971B1">
      <w:pPr>
        <w:ind w:left="360" w:hanging="360"/>
        <w:rPr>
          <w:rFonts w:ascii="Open Sans" w:hAnsi="Open Sans" w:cs="Open Sans"/>
          <w:sz w:val="20"/>
          <w:szCs w:val="20"/>
        </w:rPr>
      </w:pPr>
    </w:p>
    <w:p w14:paraId="063A7E84" w14:textId="77777777" w:rsidR="008971B1" w:rsidRPr="008971B1" w:rsidRDefault="008971B1" w:rsidP="008971B1">
      <w:pPr>
        <w:ind w:left="360"/>
        <w:rPr>
          <w:rFonts w:ascii="Open Sans" w:hAnsi="Open Sans" w:cs="Open Sans"/>
          <w:sz w:val="20"/>
          <w:szCs w:val="20"/>
        </w:rPr>
      </w:pPr>
      <w:r w:rsidRPr="008971B1">
        <w:rPr>
          <w:rFonts w:ascii="Open Sans" w:hAnsi="Open Sans" w:cs="Open Sans"/>
          <w:sz w:val="20"/>
          <w:szCs w:val="20"/>
        </w:rPr>
        <w:t xml:space="preserve">There are no height or weight requirements. All other medical conditions, illnesses, and the like will be evaluated on a case-by-case basis as to the candidates’ ability to perform the Essential Functions of the position as well as any potential threat to the health and safety of the candidate and/or others. In any case where the candidate does not meet the standards/guidelines, the </w:t>
      </w:r>
      <w:proofErr w:type="gramStart"/>
      <w:r w:rsidRPr="008971B1">
        <w:rPr>
          <w:rFonts w:ascii="Open Sans" w:hAnsi="Open Sans" w:cs="Open Sans"/>
          <w:sz w:val="20"/>
          <w:szCs w:val="20"/>
        </w:rPr>
        <w:t>City</w:t>
      </w:r>
      <w:proofErr w:type="gramEnd"/>
      <w:r w:rsidRPr="008971B1">
        <w:rPr>
          <w:rFonts w:ascii="Open Sans" w:hAnsi="Open Sans" w:cs="Open Sans"/>
          <w:sz w:val="20"/>
          <w:szCs w:val="20"/>
        </w:rPr>
        <w:t xml:space="preserve"> will be so notified by the examining physician. Depending upon circumstance(s), further testing may be required. The Chief of Police will make the final determination to accept or reject the candidate. </w:t>
      </w:r>
    </w:p>
    <w:p w14:paraId="0D144C39" w14:textId="77777777" w:rsidR="008971B1" w:rsidRPr="008971B1" w:rsidRDefault="008971B1" w:rsidP="008971B1">
      <w:pPr>
        <w:ind w:left="360" w:hanging="360"/>
        <w:rPr>
          <w:rFonts w:ascii="Open Sans" w:hAnsi="Open Sans" w:cs="Open Sans"/>
          <w:sz w:val="20"/>
          <w:szCs w:val="20"/>
        </w:rPr>
      </w:pPr>
    </w:p>
    <w:p w14:paraId="5EBCD802" w14:textId="77777777" w:rsidR="008971B1" w:rsidRPr="008971B1" w:rsidRDefault="008971B1" w:rsidP="008971B1">
      <w:pPr>
        <w:ind w:left="360"/>
        <w:rPr>
          <w:rFonts w:ascii="Open Sans" w:hAnsi="Open Sans" w:cs="Open Sans"/>
          <w:sz w:val="20"/>
          <w:szCs w:val="20"/>
        </w:rPr>
      </w:pPr>
      <w:r w:rsidRPr="008971B1">
        <w:rPr>
          <w:rFonts w:ascii="Open Sans" w:hAnsi="Open Sans" w:cs="Open Sans"/>
          <w:sz w:val="20"/>
          <w:szCs w:val="20"/>
        </w:rPr>
        <w:t xml:space="preserve">Once hired, each Police officer must successfully complete the Saint Paul Police Department Physical Fitness Assessment as a requirement of the Police Academy and will be tested on an annual basis thereafter. </w:t>
      </w:r>
    </w:p>
    <w:p w14:paraId="49C98392" w14:textId="77777777" w:rsidR="0058017A" w:rsidRDefault="0058017A" w:rsidP="008971B1">
      <w:pPr>
        <w:ind w:left="360" w:hanging="360"/>
        <w:jc w:val="center"/>
        <w:rPr>
          <w:rFonts w:ascii="Open Sans" w:hAnsi="Open Sans" w:cs="Open Sans"/>
          <w:sz w:val="20"/>
          <w:szCs w:val="20"/>
        </w:rPr>
      </w:pPr>
    </w:p>
    <w:p w14:paraId="29DF3542" w14:textId="1301DEB5" w:rsidR="00897D97" w:rsidRPr="008971B1" w:rsidRDefault="008971B1" w:rsidP="008971B1">
      <w:pPr>
        <w:ind w:left="360" w:hanging="360"/>
        <w:jc w:val="center"/>
        <w:rPr>
          <w:rFonts w:ascii="Open Sans" w:hAnsi="Open Sans" w:cs="Open Sans"/>
          <w:sz w:val="20"/>
          <w:szCs w:val="20"/>
        </w:rPr>
      </w:pPr>
      <w:r w:rsidRPr="008971B1">
        <w:rPr>
          <w:rFonts w:ascii="Open Sans" w:hAnsi="Open Sans" w:cs="Open Sans"/>
          <w:sz w:val="20"/>
          <w:szCs w:val="20"/>
        </w:rPr>
        <w:t>Adopted by the Saint Paul Police Department on November 5, 2012</w:t>
      </w:r>
    </w:p>
    <w:sectPr w:rsidR="00897D97" w:rsidRPr="008971B1" w:rsidSect="008971B1">
      <w:footerReference w:type="default" r:id="rId13"/>
      <w:type w:val="continuous"/>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9FCC" w14:textId="77777777" w:rsidR="00281C09" w:rsidRDefault="00281C09">
      <w:r>
        <w:separator/>
      </w:r>
    </w:p>
  </w:endnote>
  <w:endnote w:type="continuationSeparator" w:id="0">
    <w:p w14:paraId="68536B1C" w14:textId="77777777" w:rsidR="00281C09" w:rsidRDefault="0028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charset w:val="00"/>
    <w:family w:val="roman"/>
    <w:pitch w:val="variable"/>
    <w:sig w:usb0="60000287" w:usb1="00000001" w:usb2="00000000" w:usb3="00000000" w:csb0="0000019F" w:csb1="00000000"/>
  </w:font>
  <w:font w:name="Tms Rmn 11pt">
    <w:altName w:val="Times New Roman"/>
    <w:charset w:val="00"/>
    <w:family w:val="roman"/>
    <w:pitch w:val="variable"/>
    <w:sig w:usb0="00000003" w:usb1="00000000" w:usb2="00000000" w:usb3="00000000" w:csb0="00000001" w:csb1="00000000"/>
  </w:font>
  <w:font w:name="Red Hat Text">
    <w:panose1 w:val="02010503040201060303"/>
    <w:charset w:val="00"/>
    <w:family w:val="auto"/>
    <w:pitch w:val="variable"/>
    <w:sig w:usb0="00000007" w:usb1="00000001" w:usb2="00000000" w:usb3="00000000" w:csb0="00000093" w:csb1="00000000"/>
  </w:font>
  <w:font w:name="Red Hat Text Medium">
    <w:panose1 w:val="02010603030201060303"/>
    <w:charset w:val="4D"/>
    <w:family w:val="auto"/>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7747" w14:textId="77777777" w:rsidR="009C1582" w:rsidRPr="00312C8A" w:rsidRDefault="009C1582">
    <w:pPr>
      <w:rPr>
        <w:color w:val="000000" w:themeColor="text1"/>
      </w:rPr>
    </w:pPr>
  </w:p>
  <w:tbl>
    <w:tblPr>
      <w:tblStyle w:val="TableGrid"/>
      <w:tblW w:w="9976" w:type="dxa"/>
      <w:tblInd w:w="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4135"/>
      <w:gridCol w:w="2795"/>
    </w:tblGrid>
    <w:tr w:rsidR="003C4B55" w:rsidRPr="00312C8A" w14:paraId="5BAE716D" w14:textId="77777777" w:rsidTr="003C4B55">
      <w:tc>
        <w:tcPr>
          <w:tcW w:w="3046" w:type="dxa"/>
        </w:tcPr>
        <w:p w14:paraId="0202C812" w14:textId="77777777" w:rsidR="003C4B55" w:rsidRPr="00312C8A" w:rsidRDefault="003C4B55" w:rsidP="006B5D03">
          <w:pPr>
            <w:pStyle w:val="Header"/>
            <w:rPr>
              <w:rFonts w:ascii="Red Hat Text" w:hAnsi="Red Hat Text" w:cs="Red Hat Text"/>
              <w:b/>
              <w:bCs/>
              <w:caps/>
              <w:color w:val="000000" w:themeColor="text1"/>
              <w:spacing w:val="14"/>
              <w:sz w:val="14"/>
              <w:szCs w:val="14"/>
            </w:rPr>
          </w:pPr>
          <w:r w:rsidRPr="00312C8A">
            <w:rPr>
              <w:rFonts w:ascii="Red Hat Text" w:hAnsi="Red Hat Text" w:cs="Red Hat Text"/>
              <w:b/>
              <w:bCs/>
              <w:caps/>
              <w:color w:val="000000" w:themeColor="text1"/>
              <w:spacing w:val="14"/>
              <w:sz w:val="14"/>
              <w:szCs w:val="14"/>
            </w:rPr>
            <w:t>city of saint paul</w:t>
          </w:r>
        </w:p>
        <w:p w14:paraId="3C518D56" w14:textId="77777777" w:rsidR="003C4B55" w:rsidRPr="00312C8A" w:rsidRDefault="003C4B55" w:rsidP="006B5D03">
          <w:pPr>
            <w:pStyle w:val="Header"/>
            <w:rPr>
              <w:rFonts w:ascii="Red Hat Text" w:hAnsi="Red Hat Text" w:cs="Red Hat Text"/>
              <w:b/>
              <w:bCs/>
              <w:caps/>
              <w:color w:val="000000" w:themeColor="text1"/>
              <w:spacing w:val="14"/>
              <w:sz w:val="14"/>
              <w:szCs w:val="14"/>
            </w:rPr>
          </w:pPr>
          <w:r w:rsidRPr="00312C8A">
            <w:rPr>
              <w:rFonts w:ascii="Red Hat Text" w:hAnsi="Red Hat Text" w:cs="Red Hat Text"/>
              <w:b/>
              <w:bCs/>
              <w:caps/>
              <w:color w:val="000000" w:themeColor="text1"/>
              <w:spacing w:val="14"/>
              <w:sz w:val="14"/>
              <w:szCs w:val="14"/>
            </w:rPr>
            <w:t>Melvin carter, mayor</w:t>
          </w:r>
        </w:p>
        <w:p w14:paraId="3FC215F5" w14:textId="77C98C2A" w:rsidR="003C4B55" w:rsidRPr="00312C8A" w:rsidRDefault="003C4B55" w:rsidP="006B5D03">
          <w:pPr>
            <w:pStyle w:val="Header"/>
            <w:rPr>
              <w:rFonts w:ascii="Red Hat Text" w:hAnsi="Red Hat Text" w:cs="Red Hat Text"/>
              <w:b/>
              <w:bCs/>
              <w:caps/>
              <w:color w:val="000000" w:themeColor="text1"/>
              <w:spacing w:val="14"/>
              <w:sz w:val="14"/>
              <w:szCs w:val="14"/>
            </w:rPr>
          </w:pPr>
        </w:p>
      </w:tc>
      <w:tc>
        <w:tcPr>
          <w:tcW w:w="4135" w:type="dxa"/>
        </w:tcPr>
        <w:p w14:paraId="1436E13F" w14:textId="337D9FC8" w:rsidR="003C4B55" w:rsidRPr="00312C8A" w:rsidRDefault="003C4B55" w:rsidP="003C4B55">
          <w:pPr>
            <w:pStyle w:val="Header"/>
            <w:jc w:val="center"/>
            <w:rPr>
              <w:rFonts w:ascii="Red Hat Text" w:hAnsi="Red Hat Text" w:cs="Red Hat Text"/>
              <w:caps/>
              <w:noProof/>
              <w:color w:val="000000" w:themeColor="text1"/>
              <w:spacing w:val="14"/>
              <w:sz w:val="14"/>
              <w:szCs w:val="14"/>
            </w:rPr>
          </w:pPr>
          <w:r w:rsidRPr="00312C8A">
            <w:rPr>
              <w:rFonts w:ascii="Red Hat Text" w:hAnsi="Red Hat Text" w:cs="Red Hat Text"/>
              <w:caps/>
              <w:noProof/>
              <w:color w:val="000000" w:themeColor="text1"/>
              <w:spacing w:val="14"/>
              <w:sz w:val="14"/>
              <w:szCs w:val="14"/>
            </w:rPr>
            <w:t xml:space="preserve">AN AFFIRMATIVE ACTION &amp; </w:t>
          </w:r>
          <w:r w:rsidR="00047755" w:rsidRPr="00312C8A">
            <w:rPr>
              <w:rFonts w:ascii="Red Hat Text" w:hAnsi="Red Hat Text" w:cs="Red Hat Text"/>
              <w:caps/>
              <w:noProof/>
              <w:color w:val="000000" w:themeColor="text1"/>
              <w:spacing w:val="14"/>
              <w:sz w:val="14"/>
              <w:szCs w:val="14"/>
            </w:rPr>
            <w:br/>
            <w:t>EQUAL OPPORTUNITY EMPLOYER</w:t>
          </w:r>
        </w:p>
      </w:tc>
      <w:tc>
        <w:tcPr>
          <w:tcW w:w="2795" w:type="dxa"/>
        </w:tcPr>
        <w:p w14:paraId="13D1336C" w14:textId="6EE392A5" w:rsidR="003C4B55" w:rsidRPr="00312C8A" w:rsidRDefault="00C60DFC" w:rsidP="006B5D03">
          <w:pPr>
            <w:pStyle w:val="Header"/>
            <w:jc w:val="right"/>
            <w:rPr>
              <w:rFonts w:ascii="Red Hat Text" w:hAnsi="Red Hat Text" w:cs="Red Hat Text"/>
              <w:b/>
              <w:bCs/>
              <w:caps/>
              <w:color w:val="000000" w:themeColor="text1"/>
              <w:spacing w:val="14"/>
              <w:sz w:val="14"/>
              <w:szCs w:val="14"/>
            </w:rPr>
          </w:pPr>
          <w:r w:rsidRPr="00312C8A">
            <w:rPr>
              <w:rFonts w:ascii="Red Hat Text" w:hAnsi="Red Hat Text" w:cs="Red Hat Text"/>
              <w:b/>
              <w:bCs/>
              <w:caps/>
              <w:color w:val="000000" w:themeColor="text1"/>
              <w:spacing w:val="14"/>
              <w:sz w:val="14"/>
              <w:szCs w:val="14"/>
            </w:rPr>
            <w:t>STPAUL.GOV</w:t>
          </w:r>
        </w:p>
      </w:tc>
    </w:tr>
  </w:tbl>
  <w:p w14:paraId="60EF8582" w14:textId="77777777" w:rsidR="009C1582" w:rsidRPr="00312C8A" w:rsidRDefault="009C1582" w:rsidP="004F5282">
    <w:pP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65DD" w14:textId="18834F52" w:rsidR="009C1582" w:rsidRDefault="009C1582" w:rsidP="004F52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B712" w14:textId="77777777" w:rsidR="00281C09" w:rsidRDefault="00281C09">
      <w:r>
        <w:separator/>
      </w:r>
    </w:p>
  </w:footnote>
  <w:footnote w:type="continuationSeparator" w:id="0">
    <w:p w14:paraId="5F63E9FE" w14:textId="77777777" w:rsidR="00281C09" w:rsidRDefault="0028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0"/>
      <w:gridCol w:w="5350"/>
    </w:tblGrid>
    <w:tr w:rsidR="00312C8A" w:rsidRPr="00312C8A" w14:paraId="3B25C82D" w14:textId="77777777" w:rsidTr="00312C8A">
      <w:trPr>
        <w:trHeight w:val="1530"/>
        <w:jc w:val="center"/>
      </w:trPr>
      <w:tc>
        <w:tcPr>
          <w:tcW w:w="4640" w:type="dxa"/>
          <w:tcBorders>
            <w:bottom w:val="single" w:sz="4" w:space="0" w:color="131D47"/>
          </w:tcBorders>
        </w:tcPr>
        <w:p w14:paraId="08BE5DC8" w14:textId="77777777" w:rsidR="00DC318C" w:rsidRDefault="00DC318C" w:rsidP="00DC318C">
          <w:pPr>
            <w:pStyle w:val="Header"/>
          </w:pPr>
          <w:r>
            <w:rPr>
              <w:noProof/>
            </w:rPr>
            <w:drawing>
              <wp:inline distT="0" distB="0" distL="0" distR="0" wp14:anchorId="67873DEF" wp14:editId="04FA23CB">
                <wp:extent cx="1733614" cy="764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l="5506" r="5506"/>
                        <a:stretch>
                          <a:fillRect/>
                        </a:stretch>
                      </pic:blipFill>
                      <pic:spPr bwMode="auto">
                        <a:xfrm>
                          <a:off x="0" y="0"/>
                          <a:ext cx="1733614" cy="764997"/>
                        </a:xfrm>
                        <a:prstGeom prst="rect">
                          <a:avLst/>
                        </a:prstGeom>
                        <a:ln>
                          <a:noFill/>
                        </a:ln>
                        <a:extLst>
                          <a:ext uri="{53640926-AAD7-44D8-BBD7-CCE9431645EC}">
                            <a14:shadowObscured xmlns:a14="http://schemas.microsoft.com/office/drawing/2010/main"/>
                          </a:ext>
                        </a:extLst>
                      </pic:spPr>
                    </pic:pic>
                  </a:graphicData>
                </a:graphic>
              </wp:inline>
            </w:drawing>
          </w:r>
        </w:p>
        <w:p w14:paraId="0A2063FA" w14:textId="70A16B9D" w:rsidR="008971B1" w:rsidRPr="00312C8A" w:rsidRDefault="008971B1" w:rsidP="008971B1">
          <w:pPr>
            <w:pStyle w:val="Header"/>
            <w:rPr>
              <w:rFonts w:ascii="Red Hat Text" w:hAnsi="Red Hat Text" w:cs="Red Hat Text"/>
              <w:b/>
              <w:bCs/>
              <w:caps/>
              <w:color w:val="000000" w:themeColor="text1"/>
              <w:spacing w:val="14"/>
              <w:sz w:val="14"/>
              <w:szCs w:val="14"/>
            </w:rPr>
          </w:pPr>
          <w:r>
            <w:rPr>
              <w:rFonts w:ascii="Red Hat Text" w:hAnsi="Red Hat Text" w:cs="Red Hat Text"/>
              <w:b/>
              <w:bCs/>
              <w:caps/>
              <w:color w:val="000000" w:themeColor="text1"/>
              <w:spacing w:val="14"/>
              <w:sz w:val="14"/>
              <w:szCs w:val="14"/>
            </w:rPr>
            <w:t xml:space="preserve">                </w:t>
          </w:r>
        </w:p>
        <w:p w14:paraId="7DA7364D" w14:textId="041084AC" w:rsidR="008971B1" w:rsidRDefault="008971B1" w:rsidP="00DC318C">
          <w:pPr>
            <w:pStyle w:val="Header"/>
          </w:pPr>
        </w:p>
      </w:tc>
      <w:tc>
        <w:tcPr>
          <w:tcW w:w="5350" w:type="dxa"/>
          <w:tcBorders>
            <w:bottom w:val="single" w:sz="4" w:space="0" w:color="000000" w:themeColor="text1"/>
          </w:tcBorders>
        </w:tcPr>
        <w:p w14:paraId="12DB367D" w14:textId="6A04D251" w:rsidR="00DC318C" w:rsidRPr="00312C8A" w:rsidRDefault="00DC318C" w:rsidP="00DC318C">
          <w:pPr>
            <w:pStyle w:val="BasicParagraph"/>
            <w:suppressAutoHyphens/>
            <w:jc w:val="right"/>
            <w:rPr>
              <w:rFonts w:ascii="Red Hat Text" w:hAnsi="Red Hat Text" w:cs="Red Hat Text"/>
              <w:b/>
              <w:bCs/>
              <w:caps/>
              <w:color w:val="000000" w:themeColor="text1"/>
              <w:spacing w:val="14"/>
              <w:sz w:val="14"/>
              <w:szCs w:val="14"/>
            </w:rPr>
          </w:pPr>
          <w:r w:rsidRPr="00312C8A">
            <w:rPr>
              <w:rFonts w:ascii="Red Hat Text" w:hAnsi="Red Hat Text" w:cs="Red Hat Text"/>
              <w:b/>
              <w:bCs/>
              <w:caps/>
              <w:color w:val="000000" w:themeColor="text1"/>
              <w:spacing w:val="14"/>
              <w:sz w:val="14"/>
              <w:szCs w:val="14"/>
            </w:rPr>
            <w:t>DEPARTMENT</w:t>
          </w:r>
          <w:r w:rsidR="008971B1">
            <w:rPr>
              <w:rFonts w:ascii="Red Hat Text" w:hAnsi="Red Hat Text" w:cs="Red Hat Text"/>
              <w:b/>
              <w:bCs/>
              <w:caps/>
              <w:color w:val="000000" w:themeColor="text1"/>
              <w:spacing w:val="14"/>
              <w:sz w:val="14"/>
              <w:szCs w:val="14"/>
            </w:rPr>
            <w:t xml:space="preserve"> of police</w:t>
          </w:r>
          <w:r w:rsidRPr="00312C8A">
            <w:rPr>
              <w:rFonts w:ascii="Red Hat Text" w:hAnsi="Red Hat Text" w:cs="Red Hat Text"/>
              <w:b/>
              <w:bCs/>
              <w:caps/>
              <w:color w:val="000000" w:themeColor="text1"/>
              <w:spacing w:val="14"/>
              <w:sz w:val="14"/>
              <w:szCs w:val="14"/>
            </w:rPr>
            <w:t xml:space="preserve"> </w:t>
          </w:r>
        </w:p>
        <w:p w14:paraId="7EC61F77" w14:textId="3F1F712E" w:rsidR="00DC318C" w:rsidRPr="00312C8A" w:rsidRDefault="008971B1" w:rsidP="00DC318C">
          <w:pPr>
            <w:pStyle w:val="Header"/>
            <w:jc w:val="right"/>
            <w:rPr>
              <w:rFonts w:ascii="Red Hat Text" w:hAnsi="Red Hat Text" w:cs="Red Hat Text"/>
              <w:b/>
              <w:bCs/>
              <w:caps/>
              <w:color w:val="000000" w:themeColor="text1"/>
              <w:spacing w:val="14"/>
              <w:sz w:val="14"/>
              <w:szCs w:val="14"/>
            </w:rPr>
          </w:pPr>
          <w:r>
            <w:rPr>
              <w:rFonts w:ascii="Red Hat Text" w:hAnsi="Red Hat Text" w:cs="Red Hat Text"/>
              <w:b/>
              <w:bCs/>
              <w:caps/>
              <w:color w:val="000000" w:themeColor="text1"/>
              <w:spacing w:val="14"/>
              <w:sz w:val="14"/>
              <w:szCs w:val="14"/>
            </w:rPr>
            <w:t>todd axtell</w:t>
          </w:r>
          <w:r w:rsidR="00616045" w:rsidRPr="00312C8A">
            <w:rPr>
              <w:rFonts w:ascii="Red Hat Text" w:hAnsi="Red Hat Text" w:cs="Red Hat Text"/>
              <w:b/>
              <w:bCs/>
              <w:caps/>
              <w:color w:val="000000" w:themeColor="text1"/>
              <w:spacing w:val="14"/>
              <w:sz w:val="14"/>
              <w:szCs w:val="14"/>
            </w:rPr>
            <w:t xml:space="preserve">, </w:t>
          </w:r>
          <w:r>
            <w:rPr>
              <w:rFonts w:ascii="Red Hat Text" w:hAnsi="Red Hat Text" w:cs="Red Hat Text"/>
              <w:b/>
              <w:bCs/>
              <w:caps/>
              <w:color w:val="000000" w:themeColor="text1"/>
              <w:spacing w:val="14"/>
              <w:sz w:val="14"/>
              <w:szCs w:val="14"/>
            </w:rPr>
            <w:t>chief of police</w:t>
          </w:r>
        </w:p>
        <w:p w14:paraId="11B21211" w14:textId="77777777" w:rsidR="00DC318C" w:rsidRPr="00312C8A" w:rsidRDefault="00DC318C" w:rsidP="00DC318C">
          <w:pPr>
            <w:pStyle w:val="BasicParagraph"/>
            <w:suppressAutoHyphens/>
            <w:jc w:val="right"/>
            <w:rPr>
              <w:rFonts w:ascii="Red Hat Text Medium" w:hAnsi="Red Hat Text Medium" w:cs="Red Hat Text Medium"/>
              <w:color w:val="000000" w:themeColor="text1"/>
              <w:sz w:val="16"/>
              <w:szCs w:val="16"/>
            </w:rPr>
          </w:pPr>
        </w:p>
        <w:p w14:paraId="44CC5C87" w14:textId="72E2E81E" w:rsidR="00C60DFC" w:rsidRPr="00312C8A" w:rsidRDefault="008971B1" w:rsidP="00570C1F">
          <w:pPr>
            <w:pStyle w:val="BasicParagraph"/>
            <w:suppressAutoHyphens/>
            <w:jc w:val="right"/>
            <w:rPr>
              <w:rFonts w:ascii="Red Hat Text Medium" w:hAnsi="Red Hat Text Medium" w:cs="Red Hat Text Medium"/>
              <w:color w:val="000000" w:themeColor="text1"/>
              <w:sz w:val="16"/>
              <w:szCs w:val="16"/>
            </w:rPr>
          </w:pPr>
          <w:r>
            <w:rPr>
              <w:rFonts w:ascii="Red Hat Text Medium" w:hAnsi="Red Hat Text Medium" w:cs="Red Hat Text Medium"/>
              <w:color w:val="000000" w:themeColor="text1"/>
              <w:sz w:val="16"/>
              <w:szCs w:val="16"/>
            </w:rPr>
            <w:t>367 Grove Street</w:t>
          </w:r>
        </w:p>
        <w:p w14:paraId="7F29460F" w14:textId="48E1DB37" w:rsidR="00DC318C" w:rsidRPr="00312C8A" w:rsidRDefault="008971B1" w:rsidP="00570C1F">
          <w:pPr>
            <w:pStyle w:val="BasicParagraph"/>
            <w:suppressAutoHyphens/>
            <w:jc w:val="right"/>
            <w:rPr>
              <w:rFonts w:ascii="Red Hat Text Medium" w:hAnsi="Red Hat Text Medium" w:cs="Red Hat Text Medium"/>
              <w:color w:val="000000" w:themeColor="text1"/>
              <w:sz w:val="16"/>
              <w:szCs w:val="16"/>
            </w:rPr>
          </w:pPr>
          <w:r>
            <w:rPr>
              <w:rFonts w:ascii="Red Hat Text Medium" w:hAnsi="Red Hat Text Medium" w:cs="Red Hat Text Medium"/>
              <w:color w:val="000000" w:themeColor="text1"/>
              <w:sz w:val="16"/>
              <w:szCs w:val="16"/>
            </w:rPr>
            <w:t>Saint Paul, Minnesota 55101</w:t>
          </w:r>
        </w:p>
        <w:p w14:paraId="6D71A076" w14:textId="58956A9B" w:rsidR="00DC318C" w:rsidRPr="00312C8A" w:rsidRDefault="00DC318C" w:rsidP="00DC318C">
          <w:pPr>
            <w:pStyle w:val="BasicParagraph"/>
            <w:suppressAutoHyphens/>
            <w:jc w:val="right"/>
            <w:rPr>
              <w:rFonts w:ascii="Red Hat Text Medium" w:hAnsi="Red Hat Text Medium" w:cs="Red Hat Text Medium"/>
              <w:color w:val="000000" w:themeColor="text1"/>
              <w:sz w:val="16"/>
              <w:szCs w:val="16"/>
            </w:rPr>
          </w:pPr>
          <w:r w:rsidRPr="00312C8A">
            <w:rPr>
              <w:rFonts w:ascii="Red Hat Text Medium" w:hAnsi="Red Hat Text Medium" w:cs="Red Hat Text Medium"/>
              <w:color w:val="000000" w:themeColor="text1"/>
              <w:sz w:val="16"/>
              <w:szCs w:val="16"/>
            </w:rPr>
            <w:t>Tel:</w:t>
          </w:r>
          <w:r w:rsidR="002254BE" w:rsidRPr="00312C8A">
            <w:rPr>
              <w:rFonts w:ascii="Red Hat Text Medium" w:hAnsi="Red Hat Text Medium" w:cs="Red Hat Text Medium"/>
              <w:color w:val="000000" w:themeColor="text1"/>
              <w:sz w:val="16"/>
              <w:szCs w:val="16"/>
            </w:rPr>
            <w:t xml:space="preserve"> </w:t>
          </w:r>
          <w:r w:rsidR="008971B1">
            <w:rPr>
              <w:rFonts w:ascii="Red Hat Text Medium" w:hAnsi="Red Hat Text Medium" w:cs="Red Hat Text Medium"/>
              <w:color w:val="000000" w:themeColor="text1"/>
              <w:sz w:val="16"/>
              <w:szCs w:val="16"/>
            </w:rPr>
            <w:t>651-266-5588</w:t>
          </w:r>
          <w:r w:rsidR="00BD3852" w:rsidRPr="00312C8A">
            <w:rPr>
              <w:rFonts w:ascii="Red Hat Text Medium" w:hAnsi="Red Hat Text Medium" w:cs="Red Hat Text Medium"/>
              <w:color w:val="000000" w:themeColor="text1"/>
              <w:sz w:val="16"/>
              <w:szCs w:val="16"/>
            </w:rPr>
            <w:t xml:space="preserve"> </w:t>
          </w:r>
          <w:r w:rsidR="002254BE" w:rsidRPr="00312C8A">
            <w:rPr>
              <w:rFonts w:ascii="Red Hat Text Medium" w:hAnsi="Red Hat Text Medium" w:cs="Red Hat Text Medium"/>
              <w:color w:val="000000" w:themeColor="text1"/>
              <w:sz w:val="16"/>
              <w:szCs w:val="16"/>
            </w:rPr>
            <w:t>| Fax:</w:t>
          </w:r>
          <w:r w:rsidR="00BD3852" w:rsidRPr="00312C8A">
            <w:rPr>
              <w:rFonts w:ascii="Red Hat Text Medium" w:hAnsi="Red Hat Text Medium" w:cs="Red Hat Text Medium"/>
              <w:color w:val="000000" w:themeColor="text1"/>
              <w:sz w:val="16"/>
              <w:szCs w:val="16"/>
            </w:rPr>
            <w:t xml:space="preserve"> </w:t>
          </w:r>
          <w:r w:rsidR="008971B1">
            <w:rPr>
              <w:rFonts w:ascii="Red Hat Text Medium" w:hAnsi="Red Hat Text Medium" w:cs="Red Hat Text Medium"/>
              <w:color w:val="000000" w:themeColor="text1"/>
              <w:sz w:val="16"/>
              <w:szCs w:val="16"/>
            </w:rPr>
            <w:t>651-266-5542</w:t>
          </w:r>
          <w:r w:rsidR="002254BE" w:rsidRPr="00312C8A">
            <w:rPr>
              <w:rFonts w:ascii="Red Hat Text Medium" w:hAnsi="Red Hat Text Medium" w:cs="Red Hat Text Medium"/>
              <w:color w:val="000000" w:themeColor="text1"/>
              <w:sz w:val="16"/>
              <w:szCs w:val="16"/>
            </w:rPr>
            <w:t xml:space="preserve"> </w:t>
          </w:r>
        </w:p>
      </w:tc>
    </w:tr>
  </w:tbl>
  <w:p w14:paraId="2D22EFE4" w14:textId="43A1542F" w:rsidR="00C3541A" w:rsidRPr="00DC318C" w:rsidRDefault="00C3541A" w:rsidP="00160F4F">
    <w:pPr>
      <w:pStyle w:val="Header"/>
      <w:tabs>
        <w:tab w:val="clear" w:pos="4320"/>
        <w:tab w:val="clear" w:pos="8640"/>
        <w:tab w:val="left" w:pos="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4E3F"/>
    <w:multiLevelType w:val="hybridMultilevel"/>
    <w:tmpl w:val="71F2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C1"/>
    <w:rsid w:val="00012D88"/>
    <w:rsid w:val="00025FB4"/>
    <w:rsid w:val="00035AA8"/>
    <w:rsid w:val="00040358"/>
    <w:rsid w:val="0004394D"/>
    <w:rsid w:val="00047755"/>
    <w:rsid w:val="0009424C"/>
    <w:rsid w:val="0014441F"/>
    <w:rsid w:val="00160F4F"/>
    <w:rsid w:val="001A5E57"/>
    <w:rsid w:val="001C6AC3"/>
    <w:rsid w:val="002107C1"/>
    <w:rsid w:val="002254BE"/>
    <w:rsid w:val="002358E5"/>
    <w:rsid w:val="0024385F"/>
    <w:rsid w:val="00261261"/>
    <w:rsid w:val="00277F07"/>
    <w:rsid w:val="00281C09"/>
    <w:rsid w:val="002822E5"/>
    <w:rsid w:val="00291087"/>
    <w:rsid w:val="00312C8A"/>
    <w:rsid w:val="00353A80"/>
    <w:rsid w:val="00374BCC"/>
    <w:rsid w:val="003851DF"/>
    <w:rsid w:val="003961C0"/>
    <w:rsid w:val="003B272A"/>
    <w:rsid w:val="003C0F55"/>
    <w:rsid w:val="003C4B55"/>
    <w:rsid w:val="004151E4"/>
    <w:rsid w:val="0043231D"/>
    <w:rsid w:val="004919DE"/>
    <w:rsid w:val="004A60E9"/>
    <w:rsid w:val="004D4B1B"/>
    <w:rsid w:val="004F5282"/>
    <w:rsid w:val="00501337"/>
    <w:rsid w:val="00516B58"/>
    <w:rsid w:val="00535FF5"/>
    <w:rsid w:val="00550089"/>
    <w:rsid w:val="00570C1F"/>
    <w:rsid w:val="0058017A"/>
    <w:rsid w:val="00581A62"/>
    <w:rsid w:val="005B0B33"/>
    <w:rsid w:val="005E545E"/>
    <w:rsid w:val="00607745"/>
    <w:rsid w:val="00616045"/>
    <w:rsid w:val="00616622"/>
    <w:rsid w:val="006502ED"/>
    <w:rsid w:val="006617BB"/>
    <w:rsid w:val="006B5D03"/>
    <w:rsid w:val="006C1EED"/>
    <w:rsid w:val="006C4A66"/>
    <w:rsid w:val="00730E75"/>
    <w:rsid w:val="00735DFB"/>
    <w:rsid w:val="00762400"/>
    <w:rsid w:val="00774CD8"/>
    <w:rsid w:val="008440D5"/>
    <w:rsid w:val="00890E1A"/>
    <w:rsid w:val="008971B1"/>
    <w:rsid w:val="00897D97"/>
    <w:rsid w:val="008B34B6"/>
    <w:rsid w:val="008D0F58"/>
    <w:rsid w:val="008D38D6"/>
    <w:rsid w:val="008E74FA"/>
    <w:rsid w:val="00961FD0"/>
    <w:rsid w:val="009774E6"/>
    <w:rsid w:val="009C1582"/>
    <w:rsid w:val="00A304C1"/>
    <w:rsid w:val="00AB211F"/>
    <w:rsid w:val="00B7664A"/>
    <w:rsid w:val="00B8513B"/>
    <w:rsid w:val="00BD3852"/>
    <w:rsid w:val="00C137DF"/>
    <w:rsid w:val="00C3541A"/>
    <w:rsid w:val="00C374A0"/>
    <w:rsid w:val="00C60DFC"/>
    <w:rsid w:val="00C6121B"/>
    <w:rsid w:val="00C6172E"/>
    <w:rsid w:val="00C7705C"/>
    <w:rsid w:val="00CA2271"/>
    <w:rsid w:val="00CD4B14"/>
    <w:rsid w:val="00CF3038"/>
    <w:rsid w:val="00D12089"/>
    <w:rsid w:val="00D3468D"/>
    <w:rsid w:val="00D90CFF"/>
    <w:rsid w:val="00D9524E"/>
    <w:rsid w:val="00DA7CD4"/>
    <w:rsid w:val="00DB14A6"/>
    <w:rsid w:val="00DC318C"/>
    <w:rsid w:val="00DD7FE9"/>
    <w:rsid w:val="00DF53DD"/>
    <w:rsid w:val="00E1253D"/>
    <w:rsid w:val="00E64226"/>
    <w:rsid w:val="00EA3E10"/>
    <w:rsid w:val="00EF2029"/>
    <w:rsid w:val="00EF384D"/>
    <w:rsid w:val="00F35627"/>
    <w:rsid w:val="00FB77A2"/>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F3C887"/>
  <w15:chartTrackingRefBased/>
  <w15:docId w15:val="{FE9CEBED-E0FB-A248-BDC5-B6BCB03F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226"/>
    <w:pPr>
      <w:tabs>
        <w:tab w:val="center" w:pos="4320"/>
        <w:tab w:val="right" w:pos="8640"/>
      </w:tabs>
    </w:pPr>
  </w:style>
  <w:style w:type="paragraph" w:styleId="Footer">
    <w:name w:val="footer"/>
    <w:basedOn w:val="Normal"/>
    <w:rsid w:val="00E64226"/>
    <w:pPr>
      <w:tabs>
        <w:tab w:val="center" w:pos="4320"/>
        <w:tab w:val="right" w:pos="8640"/>
      </w:tabs>
    </w:pPr>
  </w:style>
  <w:style w:type="table" w:styleId="TableGrid">
    <w:name w:val="Table Grid"/>
    <w:basedOn w:val="TableNormal"/>
    <w:rsid w:val="006B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B5D0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6B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9842">
      <w:bodyDiv w:val="1"/>
      <w:marLeft w:val="0"/>
      <w:marRight w:val="0"/>
      <w:marTop w:val="0"/>
      <w:marBottom w:val="0"/>
      <w:divBdr>
        <w:top w:val="none" w:sz="0" w:space="0" w:color="auto"/>
        <w:left w:val="none" w:sz="0" w:space="0" w:color="auto"/>
        <w:bottom w:val="none" w:sz="0" w:space="0" w:color="auto"/>
        <w:right w:val="none" w:sz="0" w:space="0" w:color="auto"/>
      </w:divBdr>
    </w:div>
    <w:div w:id="349642108">
      <w:bodyDiv w:val="1"/>
      <w:marLeft w:val="0"/>
      <w:marRight w:val="0"/>
      <w:marTop w:val="0"/>
      <w:marBottom w:val="0"/>
      <w:divBdr>
        <w:top w:val="none" w:sz="0" w:space="0" w:color="auto"/>
        <w:left w:val="none" w:sz="0" w:space="0" w:color="auto"/>
        <w:bottom w:val="none" w:sz="0" w:space="0" w:color="auto"/>
        <w:right w:val="none" w:sz="0" w:space="0" w:color="auto"/>
      </w:divBdr>
    </w:div>
    <w:div w:id="546069673">
      <w:bodyDiv w:val="1"/>
      <w:marLeft w:val="0"/>
      <w:marRight w:val="0"/>
      <w:marTop w:val="0"/>
      <w:marBottom w:val="0"/>
      <w:divBdr>
        <w:top w:val="none" w:sz="0" w:space="0" w:color="auto"/>
        <w:left w:val="none" w:sz="0" w:space="0" w:color="auto"/>
        <w:bottom w:val="none" w:sz="0" w:space="0" w:color="auto"/>
        <w:right w:val="none" w:sz="0" w:space="0" w:color="auto"/>
      </w:divBdr>
    </w:div>
    <w:div w:id="551887218">
      <w:bodyDiv w:val="1"/>
      <w:marLeft w:val="0"/>
      <w:marRight w:val="0"/>
      <w:marTop w:val="0"/>
      <w:marBottom w:val="0"/>
      <w:divBdr>
        <w:top w:val="none" w:sz="0" w:space="0" w:color="auto"/>
        <w:left w:val="none" w:sz="0" w:space="0" w:color="auto"/>
        <w:bottom w:val="none" w:sz="0" w:space="0" w:color="auto"/>
        <w:right w:val="none" w:sz="0" w:space="0" w:color="auto"/>
      </w:divBdr>
    </w:div>
    <w:div w:id="574362867">
      <w:bodyDiv w:val="1"/>
      <w:marLeft w:val="0"/>
      <w:marRight w:val="0"/>
      <w:marTop w:val="0"/>
      <w:marBottom w:val="0"/>
      <w:divBdr>
        <w:top w:val="none" w:sz="0" w:space="0" w:color="auto"/>
        <w:left w:val="none" w:sz="0" w:space="0" w:color="auto"/>
        <w:bottom w:val="none" w:sz="0" w:space="0" w:color="auto"/>
        <w:right w:val="none" w:sz="0" w:space="0" w:color="auto"/>
      </w:divBdr>
    </w:div>
    <w:div w:id="597249766">
      <w:bodyDiv w:val="1"/>
      <w:marLeft w:val="0"/>
      <w:marRight w:val="0"/>
      <w:marTop w:val="0"/>
      <w:marBottom w:val="0"/>
      <w:divBdr>
        <w:top w:val="none" w:sz="0" w:space="0" w:color="auto"/>
        <w:left w:val="none" w:sz="0" w:space="0" w:color="auto"/>
        <w:bottom w:val="none" w:sz="0" w:space="0" w:color="auto"/>
        <w:right w:val="none" w:sz="0" w:space="0" w:color="auto"/>
      </w:divBdr>
    </w:div>
    <w:div w:id="14268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d947d4-ed52-416e-90eb-89ce37be0f5c">
      <UserInfo>
        <DisplayName>Greene Guentzel, Amanda (CI-StPaul)</DisplayName>
        <AccountId>69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30E1261B4F3545B428F4FB348DA709" ma:contentTypeVersion="9" ma:contentTypeDescription="Create a new document." ma:contentTypeScope="" ma:versionID="086037866089348a5b0e4a0a8b043c78">
  <xsd:schema xmlns:xsd="http://www.w3.org/2001/XMLSchema" xmlns:xs="http://www.w3.org/2001/XMLSchema" xmlns:p="http://schemas.microsoft.com/office/2006/metadata/properties" xmlns:ns2="a0bc5757-3a67-47ad-9129-016f71c9b68b" xmlns:ns3="e1d947d4-ed52-416e-90eb-89ce37be0f5c" targetNamespace="http://schemas.microsoft.com/office/2006/metadata/properties" ma:root="true" ma:fieldsID="157140d442ac14b5f864e46e6b5aa581" ns2:_="" ns3:_="">
    <xsd:import namespace="a0bc5757-3a67-47ad-9129-016f71c9b68b"/>
    <xsd:import namespace="e1d947d4-ed52-416e-90eb-89ce37be0f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c5757-3a67-47ad-9129-016f71c9b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947d4-ed52-416e-90eb-89ce37be0f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5921D71-EF24-45E2-A03D-E69E98DEB613}">
  <ds:schemaRefs>
    <ds:schemaRef ds:uri="http://schemas.microsoft.com/sharepoint/v3/contenttype/forms"/>
  </ds:schemaRefs>
</ds:datastoreItem>
</file>

<file path=customXml/itemProps2.xml><?xml version="1.0" encoding="utf-8"?>
<ds:datastoreItem xmlns:ds="http://schemas.openxmlformats.org/officeDocument/2006/customXml" ds:itemID="{AAC8DB9B-F5ED-4E83-937A-47E303057ED8}">
  <ds:schemaRefs>
    <ds:schemaRef ds:uri="http://schemas.microsoft.com/office/infopath/2007/PartnerControls"/>
    <ds:schemaRef ds:uri="http://purl.org/dc/elements/1.1/"/>
    <ds:schemaRef ds:uri="http://schemas.microsoft.com/office/2006/metadata/properties"/>
    <ds:schemaRef ds:uri="e1d947d4-ed52-416e-90eb-89ce37be0f5c"/>
    <ds:schemaRef ds:uri="http://purl.org/dc/terms/"/>
    <ds:schemaRef ds:uri="http://schemas.openxmlformats.org/package/2006/metadata/core-properties"/>
    <ds:schemaRef ds:uri="a0bc5757-3a67-47ad-9129-016f71c9b68b"/>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5C558DD-9A62-4924-AEAA-599C3D12A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c5757-3a67-47ad-9129-016f71c9b68b"/>
    <ds:schemaRef ds:uri="e1d947d4-ed52-416e-90eb-89ce37be0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32E56-B8F9-4FAB-97C8-EE0CAC58C66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Cable Office</dc:creator>
  <cp:keywords/>
  <dc:description/>
  <cp:lastModifiedBy>Fisher, Cecilia (CI-StPaul)</cp:lastModifiedBy>
  <cp:revision>2</cp:revision>
  <cp:lastPrinted>2008-01-14T16:38:00Z</cp:lastPrinted>
  <dcterms:created xsi:type="dcterms:W3CDTF">2022-02-04T21:45:00Z</dcterms:created>
  <dcterms:modified xsi:type="dcterms:W3CDTF">2022-02-04T21:45:00Z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Greene Guentzel, Amanda (CI-StPaul)</vt:lpwstr>
  </property>
  <property fmtid="{D5CDD505-2E9C-101B-9397-08002B2CF9AE}" pid="3" name="SharedWithUsers">
    <vt:lpwstr>69;#Greene Guentzel, Amanda (CI-StPaul)</vt:lpwstr>
  </property>
  <property fmtid="{D5CDD505-2E9C-101B-9397-08002B2CF9AE}" pid="4" name="xd_Signature">
    <vt:lpwstr/>
  </property>
  <property fmtid="{D5CDD505-2E9C-101B-9397-08002B2CF9AE}" pid="5" name="display_urn:schemas-microsoft-com:office:office#Editor">
    <vt:lpwstr>Joshua Wiederin</vt:lpwstr>
  </property>
  <property fmtid="{D5CDD505-2E9C-101B-9397-08002B2CF9AE}" pid="6" name="Order">
    <vt:lpwstr>407500.000000000</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Joshua Wiederin</vt:lpwstr>
  </property>
  <property fmtid="{D5CDD505-2E9C-101B-9397-08002B2CF9AE}" pid="11" name="ContentTypeId">
    <vt:lpwstr>0x0101004930E1261B4F3545B428F4FB348DA709</vt:lpwstr>
  </property>
</Properties>
</file>