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1778" w14:textId="77777777" w:rsidR="00F93A80" w:rsidRPr="002E279E" w:rsidRDefault="00F93A80" w:rsidP="00F93A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p w14:paraId="00C31071" w14:textId="77777777" w:rsidR="00F93A80" w:rsidRPr="002E279E" w:rsidRDefault="00F93A80" w:rsidP="00F93A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565A7B38" w14:textId="77777777" w:rsidR="00F93A80" w:rsidRPr="002E279E" w:rsidRDefault="00F93A80" w:rsidP="00F93A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6835E7B6" w14:textId="77777777" w:rsidR="00F93A80" w:rsidRPr="002E279E" w:rsidRDefault="00F93A80"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2E279E">
        <w:rPr>
          <w:rFonts w:asciiTheme="minorHAnsi" w:hAnsiTheme="minorHAnsi" w:cstheme="minorHAnsi"/>
          <w:sz w:val="22"/>
          <w:szCs w:val="22"/>
        </w:rPr>
        <w:t>[TO BE SUBMITTED ON DEVELOPER’S LETTERHEAD]</w:t>
      </w:r>
    </w:p>
    <w:p w14:paraId="77072AA6" w14:textId="77777777" w:rsidR="00F93A80" w:rsidRPr="002E279E" w:rsidRDefault="00F93A80"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68FC13F8" w14:textId="6F61A64E" w:rsidR="00F93A80" w:rsidRPr="00DF79A6" w:rsidRDefault="00DF79A6"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iCs/>
          <w:sz w:val="22"/>
          <w:szCs w:val="22"/>
        </w:rPr>
      </w:pPr>
      <w:r>
        <w:rPr>
          <w:rFonts w:asciiTheme="minorHAnsi" w:hAnsiTheme="minorHAnsi" w:cstheme="minorHAnsi"/>
          <w:iCs/>
          <w:sz w:val="22"/>
          <w:szCs w:val="22"/>
        </w:rPr>
        <w:t>City of Saint Paul</w:t>
      </w:r>
      <w:r>
        <w:rPr>
          <w:rFonts w:asciiTheme="minorHAnsi" w:hAnsiTheme="minorHAnsi" w:cstheme="minorHAnsi"/>
          <w:iCs/>
          <w:sz w:val="22"/>
          <w:szCs w:val="22"/>
        </w:rPr>
        <w:br/>
        <w:t>Attn: Marilyn Rosendahl</w:t>
      </w:r>
    </w:p>
    <w:p w14:paraId="55A71AB1" w14:textId="77777777" w:rsidR="00F93A80" w:rsidRPr="002E279E" w:rsidRDefault="00F93A80"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2E279E">
        <w:rPr>
          <w:rFonts w:asciiTheme="minorHAnsi" w:hAnsiTheme="minorHAnsi" w:cstheme="minorHAnsi"/>
          <w:sz w:val="22"/>
          <w:szCs w:val="22"/>
        </w:rPr>
        <w:t>Department of Planning and Economic Development</w:t>
      </w:r>
    </w:p>
    <w:p w14:paraId="06B7E374" w14:textId="77777777" w:rsidR="00F93A80" w:rsidRPr="002E279E" w:rsidRDefault="00F93A80"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2E279E">
        <w:rPr>
          <w:rFonts w:asciiTheme="minorHAnsi" w:hAnsiTheme="minorHAnsi" w:cstheme="minorHAnsi"/>
          <w:sz w:val="22"/>
          <w:szCs w:val="22"/>
        </w:rPr>
        <w:t>1400 City Hall Annex</w:t>
      </w:r>
    </w:p>
    <w:p w14:paraId="579D82E0" w14:textId="77777777" w:rsidR="00F93A80" w:rsidRPr="002E279E" w:rsidRDefault="00F93A80"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2E279E">
        <w:rPr>
          <w:rFonts w:asciiTheme="minorHAnsi" w:hAnsiTheme="minorHAnsi" w:cstheme="minorHAnsi"/>
          <w:sz w:val="22"/>
          <w:szCs w:val="22"/>
        </w:rPr>
        <w:t>25 West Fourth Street</w:t>
      </w:r>
    </w:p>
    <w:p w14:paraId="50B2ABE2" w14:textId="77777777" w:rsidR="00F93A80" w:rsidRPr="002E279E" w:rsidRDefault="00F93A80"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2E279E">
        <w:rPr>
          <w:rFonts w:asciiTheme="minorHAnsi" w:hAnsiTheme="minorHAnsi" w:cstheme="minorHAnsi"/>
          <w:sz w:val="22"/>
          <w:szCs w:val="22"/>
        </w:rPr>
        <w:t>Saint Paul, MN 55102</w:t>
      </w:r>
    </w:p>
    <w:p w14:paraId="7178D524" w14:textId="77777777" w:rsidR="00F93A80" w:rsidRPr="002E279E" w:rsidRDefault="00F93A80"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4395B054" w14:textId="77777777" w:rsidR="00F93A80" w:rsidRPr="002E279E" w:rsidRDefault="00F93A80"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2E279E">
        <w:rPr>
          <w:rFonts w:asciiTheme="minorHAnsi" w:hAnsiTheme="minorHAnsi" w:cstheme="minorHAnsi"/>
          <w:sz w:val="22"/>
          <w:szCs w:val="22"/>
        </w:rPr>
        <w:t>RE:</w:t>
      </w:r>
      <w:r w:rsidRPr="002E279E">
        <w:rPr>
          <w:rFonts w:asciiTheme="minorHAnsi" w:hAnsiTheme="minorHAnsi" w:cstheme="minorHAnsi"/>
          <w:sz w:val="22"/>
          <w:szCs w:val="22"/>
        </w:rPr>
        <w:tab/>
      </w:r>
      <w:r w:rsidR="00EB5EB7" w:rsidRPr="002E279E">
        <w:rPr>
          <w:rFonts w:asciiTheme="minorHAnsi" w:hAnsiTheme="minorHAnsi" w:cstheme="minorHAnsi"/>
          <w:sz w:val="22"/>
          <w:szCs w:val="22"/>
        </w:rPr>
        <w:t>Developer Acknowledgement of Compliance Documents</w:t>
      </w:r>
      <w:r w:rsidR="00EB5EB7" w:rsidRPr="002E279E">
        <w:rPr>
          <w:rFonts w:asciiTheme="minorHAnsi" w:hAnsiTheme="minorHAnsi" w:cstheme="minorHAnsi"/>
          <w:i/>
          <w:sz w:val="22"/>
          <w:szCs w:val="22"/>
        </w:rPr>
        <w:t xml:space="preserve"> </w:t>
      </w:r>
      <w:r w:rsidR="00EB5EB7" w:rsidRPr="002E279E">
        <w:rPr>
          <w:rFonts w:asciiTheme="minorHAnsi" w:hAnsiTheme="minorHAnsi" w:cstheme="minorHAnsi"/>
          <w:sz w:val="22"/>
          <w:szCs w:val="22"/>
        </w:rPr>
        <w:t xml:space="preserve">for </w:t>
      </w:r>
      <w:r w:rsidRPr="002E279E">
        <w:rPr>
          <w:rFonts w:asciiTheme="minorHAnsi" w:hAnsiTheme="minorHAnsi" w:cstheme="minorHAnsi"/>
          <w:i/>
          <w:sz w:val="22"/>
          <w:szCs w:val="22"/>
        </w:rPr>
        <w:t>(Description of Project)</w:t>
      </w:r>
      <w:r w:rsidRPr="002E279E">
        <w:rPr>
          <w:rFonts w:asciiTheme="minorHAnsi" w:hAnsiTheme="minorHAnsi" w:cstheme="minorHAnsi"/>
          <w:sz w:val="22"/>
          <w:szCs w:val="22"/>
        </w:rPr>
        <w:t xml:space="preserve"> (“Project”)</w:t>
      </w:r>
    </w:p>
    <w:p w14:paraId="609A4FDE" w14:textId="77777777" w:rsidR="00F93A80" w:rsidRPr="002E279E" w:rsidRDefault="00F93A80"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1AF6F12F" w14:textId="77777777" w:rsidR="00F93A80" w:rsidRPr="002E279E" w:rsidRDefault="00F93A80"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2E279E">
        <w:rPr>
          <w:rFonts w:asciiTheme="minorHAnsi" w:hAnsiTheme="minorHAnsi" w:cstheme="minorHAnsi"/>
          <w:sz w:val="22"/>
          <w:szCs w:val="22"/>
        </w:rPr>
        <w:t>Dear:</w:t>
      </w:r>
    </w:p>
    <w:p w14:paraId="0E8F6361" w14:textId="77777777" w:rsidR="00F93A80" w:rsidRPr="002E279E" w:rsidRDefault="00F93A80"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2DE448C5" w14:textId="77777777" w:rsidR="005F297B" w:rsidRPr="002E279E" w:rsidRDefault="005023AD"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2E279E">
        <w:rPr>
          <w:rFonts w:asciiTheme="minorHAnsi" w:hAnsiTheme="minorHAnsi" w:cstheme="minorHAnsi"/>
          <w:sz w:val="22"/>
          <w:szCs w:val="22"/>
        </w:rPr>
        <w:t xml:space="preserve">This letter accompanies our pre-application for a [Metropolitan Council LCDA/Metropolitan council TBRA/DEED] </w:t>
      </w:r>
      <w:r w:rsidR="00D12ACA" w:rsidRPr="002E279E">
        <w:rPr>
          <w:rFonts w:asciiTheme="minorHAnsi" w:hAnsiTheme="minorHAnsi" w:cstheme="minorHAnsi"/>
          <w:sz w:val="22"/>
          <w:szCs w:val="22"/>
        </w:rPr>
        <w:t xml:space="preserve">pass-through </w:t>
      </w:r>
      <w:r w:rsidRPr="002E279E">
        <w:rPr>
          <w:rFonts w:asciiTheme="minorHAnsi" w:hAnsiTheme="minorHAnsi" w:cstheme="minorHAnsi"/>
          <w:sz w:val="22"/>
          <w:szCs w:val="22"/>
        </w:rPr>
        <w:t xml:space="preserve">grant. It serves </w:t>
      </w:r>
      <w:r w:rsidR="00B61C41">
        <w:rPr>
          <w:rFonts w:asciiTheme="minorHAnsi" w:hAnsiTheme="minorHAnsi" w:cstheme="minorHAnsi"/>
          <w:sz w:val="22"/>
          <w:szCs w:val="22"/>
        </w:rPr>
        <w:t>as our</w:t>
      </w:r>
      <w:r w:rsidRPr="002E279E">
        <w:rPr>
          <w:rFonts w:asciiTheme="minorHAnsi" w:hAnsiTheme="minorHAnsi" w:cstheme="minorHAnsi"/>
          <w:sz w:val="22"/>
          <w:szCs w:val="22"/>
        </w:rPr>
        <w:t xml:space="preserve"> acknowledge</w:t>
      </w:r>
      <w:r w:rsidR="00B61C41">
        <w:rPr>
          <w:rFonts w:asciiTheme="minorHAnsi" w:hAnsiTheme="minorHAnsi" w:cstheme="minorHAnsi"/>
          <w:sz w:val="22"/>
          <w:szCs w:val="22"/>
        </w:rPr>
        <w:t>ment</w:t>
      </w:r>
      <w:r w:rsidRPr="002E279E">
        <w:rPr>
          <w:rFonts w:asciiTheme="minorHAnsi" w:hAnsiTheme="minorHAnsi" w:cstheme="minorHAnsi"/>
          <w:sz w:val="22"/>
          <w:szCs w:val="22"/>
        </w:rPr>
        <w:t xml:space="preserve"> that there may be city, state, or federal compliance requirements that are appl</w:t>
      </w:r>
      <w:r w:rsidR="00EB5EB7" w:rsidRPr="002E279E">
        <w:rPr>
          <w:rFonts w:asciiTheme="minorHAnsi" w:hAnsiTheme="minorHAnsi" w:cstheme="minorHAnsi"/>
          <w:sz w:val="22"/>
          <w:szCs w:val="22"/>
        </w:rPr>
        <w:t>icable to the above-referenced P</w:t>
      </w:r>
      <w:r w:rsidRPr="002E279E">
        <w:rPr>
          <w:rFonts w:asciiTheme="minorHAnsi" w:hAnsiTheme="minorHAnsi" w:cstheme="minorHAnsi"/>
          <w:sz w:val="22"/>
          <w:szCs w:val="22"/>
        </w:rPr>
        <w:t>roject.</w:t>
      </w:r>
      <w:r w:rsidR="00EB5EB7" w:rsidRPr="002E279E">
        <w:rPr>
          <w:rFonts w:asciiTheme="minorHAnsi" w:hAnsiTheme="minorHAnsi" w:cstheme="minorHAnsi"/>
          <w:sz w:val="22"/>
          <w:szCs w:val="22"/>
        </w:rPr>
        <w:t xml:space="preserve"> Compliance requirements may include: </w:t>
      </w:r>
      <w:r w:rsidRPr="002E279E">
        <w:rPr>
          <w:rFonts w:asciiTheme="minorHAnsi" w:hAnsiTheme="minorHAnsi" w:cstheme="minorHAnsi"/>
          <w:sz w:val="22"/>
          <w:szCs w:val="22"/>
        </w:rPr>
        <w:t xml:space="preserve"> </w:t>
      </w:r>
    </w:p>
    <w:p w14:paraId="29C880D0" w14:textId="77777777" w:rsidR="00F93A80" w:rsidRPr="002E279E" w:rsidRDefault="00F93A80"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2E279E">
        <w:rPr>
          <w:rFonts w:asciiTheme="minorHAnsi" w:hAnsiTheme="minorHAnsi" w:cstheme="minorHAnsi"/>
          <w:sz w:val="22"/>
          <w:szCs w:val="22"/>
        </w:rPr>
        <w:t xml:space="preserve">  </w:t>
      </w:r>
    </w:p>
    <w:p w14:paraId="0C027DD6" w14:textId="77777777" w:rsidR="00F93A80" w:rsidRPr="002E279E" w:rsidRDefault="00F93A80" w:rsidP="007642C3">
      <w:pPr>
        <w:pStyle w:val="ListParagraph"/>
        <w:widowControl w:val="0"/>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rPr>
      </w:pPr>
      <w:r w:rsidRPr="002E279E">
        <w:rPr>
          <w:rFonts w:asciiTheme="minorHAnsi" w:hAnsiTheme="minorHAnsi" w:cstheme="minorHAnsi"/>
        </w:rPr>
        <w:t>Affirmative Action</w:t>
      </w:r>
      <w:r w:rsidR="002E279E" w:rsidRPr="002E279E">
        <w:rPr>
          <w:rFonts w:asciiTheme="minorHAnsi" w:hAnsiTheme="minorHAnsi" w:cstheme="minorHAnsi"/>
        </w:rPr>
        <w:t>/Equal Economic Opportunity</w:t>
      </w:r>
      <w:r w:rsidRPr="002E279E">
        <w:rPr>
          <w:rFonts w:asciiTheme="minorHAnsi" w:hAnsiTheme="minorHAnsi" w:cstheme="minorHAnsi"/>
        </w:rPr>
        <w:t xml:space="preserve"> </w:t>
      </w:r>
    </w:p>
    <w:p w14:paraId="56A23F27" w14:textId="77777777" w:rsidR="00F93A80" w:rsidRPr="002E279E" w:rsidRDefault="00F93A80" w:rsidP="007642C3">
      <w:pPr>
        <w:pStyle w:val="ListParagraph"/>
        <w:widowControl w:val="0"/>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rPr>
      </w:pPr>
      <w:r w:rsidRPr="002E279E">
        <w:rPr>
          <w:rFonts w:asciiTheme="minorHAnsi" w:hAnsiTheme="minorHAnsi" w:cstheme="minorHAnsi"/>
        </w:rPr>
        <w:t>Vendor Outreach Program</w:t>
      </w:r>
      <w:r w:rsidR="00E72617">
        <w:rPr>
          <w:rFonts w:asciiTheme="minorHAnsi" w:hAnsiTheme="minorHAnsi" w:cstheme="minorHAnsi"/>
        </w:rPr>
        <w:t xml:space="preserve"> </w:t>
      </w:r>
      <w:r w:rsidRPr="002E279E">
        <w:rPr>
          <w:rFonts w:asciiTheme="minorHAnsi" w:hAnsiTheme="minorHAnsi" w:cstheme="minorHAnsi"/>
        </w:rPr>
        <w:t>Labor Standards</w:t>
      </w:r>
      <w:r w:rsidR="002E279E" w:rsidRPr="002E279E">
        <w:rPr>
          <w:rFonts w:asciiTheme="minorHAnsi" w:hAnsiTheme="minorHAnsi" w:cstheme="minorHAnsi"/>
        </w:rPr>
        <w:t>/Prevailing Wage</w:t>
      </w:r>
      <w:r w:rsidRPr="002E279E">
        <w:rPr>
          <w:rFonts w:asciiTheme="minorHAnsi" w:hAnsiTheme="minorHAnsi" w:cstheme="minorHAnsi"/>
        </w:rPr>
        <w:t xml:space="preserve"> – Federal Davis Bacon and City Davis Bacon</w:t>
      </w:r>
    </w:p>
    <w:p w14:paraId="295D8ECA" w14:textId="77777777" w:rsidR="00F93A80" w:rsidRPr="002E279E" w:rsidRDefault="00F93A80" w:rsidP="007642C3">
      <w:pPr>
        <w:pStyle w:val="ListParagraph"/>
        <w:widowControl w:val="0"/>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rPr>
      </w:pPr>
      <w:r w:rsidRPr="002E279E">
        <w:rPr>
          <w:rFonts w:asciiTheme="minorHAnsi" w:hAnsiTheme="minorHAnsi" w:cstheme="minorHAnsi"/>
        </w:rPr>
        <w:t>Two Bid Policy</w:t>
      </w:r>
    </w:p>
    <w:p w14:paraId="053BAA23" w14:textId="77777777" w:rsidR="00F93A80" w:rsidRPr="002E279E" w:rsidRDefault="00F93A80" w:rsidP="007642C3">
      <w:pPr>
        <w:pStyle w:val="ListParagraph"/>
        <w:widowControl w:val="0"/>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rPr>
      </w:pPr>
      <w:r w:rsidRPr="002E279E">
        <w:rPr>
          <w:rFonts w:asciiTheme="minorHAnsi" w:hAnsiTheme="minorHAnsi" w:cstheme="minorHAnsi"/>
        </w:rPr>
        <w:t>Sustainable Development</w:t>
      </w:r>
      <w:r w:rsidR="00EB5EB7" w:rsidRPr="002E279E">
        <w:rPr>
          <w:rFonts w:asciiTheme="minorHAnsi" w:hAnsiTheme="minorHAnsi" w:cstheme="minorHAnsi"/>
        </w:rPr>
        <w:t xml:space="preserve"> requirements </w:t>
      </w:r>
    </w:p>
    <w:p w14:paraId="5CFAB085" w14:textId="77777777" w:rsidR="00F93A80" w:rsidRPr="002E279E" w:rsidRDefault="00F93A80" w:rsidP="007642C3">
      <w:pPr>
        <w:pStyle w:val="ListParagraph"/>
        <w:widowControl w:val="0"/>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rPr>
      </w:pPr>
      <w:r w:rsidRPr="002E279E">
        <w:rPr>
          <w:rFonts w:asciiTheme="minorHAnsi" w:hAnsiTheme="minorHAnsi" w:cstheme="minorHAnsi"/>
        </w:rPr>
        <w:t>HUD Section 3</w:t>
      </w:r>
    </w:p>
    <w:p w14:paraId="1852B3D0" w14:textId="77777777" w:rsidR="00F93A80" w:rsidRPr="002E279E" w:rsidRDefault="00F93A80" w:rsidP="007642C3">
      <w:pPr>
        <w:pStyle w:val="ListParagraph"/>
        <w:widowControl w:val="0"/>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rPr>
      </w:pPr>
      <w:r w:rsidRPr="002E279E">
        <w:rPr>
          <w:rFonts w:asciiTheme="minorHAnsi" w:hAnsiTheme="minorHAnsi" w:cstheme="minorHAnsi"/>
        </w:rPr>
        <w:t xml:space="preserve">Project Labor Agreement </w:t>
      </w:r>
    </w:p>
    <w:p w14:paraId="37C8EFB4" w14:textId="77777777" w:rsidR="00F93A80" w:rsidRPr="002E279E" w:rsidRDefault="00F93A80" w:rsidP="007642C3">
      <w:pPr>
        <w:pStyle w:val="ListParagraph"/>
        <w:widowControl w:val="0"/>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rPr>
      </w:pPr>
      <w:r w:rsidRPr="002E279E">
        <w:rPr>
          <w:rFonts w:asciiTheme="minorHAnsi" w:hAnsiTheme="minorHAnsi" w:cstheme="minorHAnsi"/>
        </w:rPr>
        <w:t xml:space="preserve">Living Wage </w:t>
      </w:r>
    </w:p>
    <w:p w14:paraId="32A0AE9F" w14:textId="77777777" w:rsidR="00F93A80" w:rsidRPr="002E279E" w:rsidRDefault="00F93A80" w:rsidP="007642C3">
      <w:pPr>
        <w:pStyle w:val="ListParagraph"/>
        <w:widowControl w:val="0"/>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rPr>
      </w:pPr>
      <w:r w:rsidRPr="002E279E">
        <w:rPr>
          <w:rFonts w:asciiTheme="minorHAnsi" w:hAnsiTheme="minorHAnsi" w:cstheme="minorHAnsi"/>
        </w:rPr>
        <w:t xml:space="preserve">Affirmative Fair Housing Marketing Plan </w:t>
      </w:r>
    </w:p>
    <w:p w14:paraId="5957E89F" w14:textId="77777777" w:rsidR="00F93A80" w:rsidRPr="002E279E" w:rsidRDefault="00F93A80"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1C83F3F4" w14:textId="77777777" w:rsidR="005F297B" w:rsidRDefault="005F297B"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2E279E">
        <w:rPr>
          <w:rFonts w:asciiTheme="minorHAnsi" w:hAnsiTheme="minorHAnsi" w:cstheme="minorHAnsi"/>
          <w:sz w:val="22"/>
          <w:szCs w:val="22"/>
        </w:rPr>
        <w:t xml:space="preserve">We </w:t>
      </w:r>
      <w:r w:rsidR="00A338C5">
        <w:rPr>
          <w:rFonts w:asciiTheme="minorHAnsi" w:hAnsiTheme="minorHAnsi" w:cstheme="minorHAnsi"/>
          <w:sz w:val="22"/>
          <w:szCs w:val="22"/>
        </w:rPr>
        <w:t>acknowledge</w:t>
      </w:r>
      <w:r w:rsidR="00A338C5" w:rsidRPr="002E279E">
        <w:rPr>
          <w:rFonts w:asciiTheme="minorHAnsi" w:hAnsiTheme="minorHAnsi" w:cstheme="minorHAnsi"/>
          <w:sz w:val="22"/>
          <w:szCs w:val="22"/>
        </w:rPr>
        <w:t xml:space="preserve"> </w:t>
      </w:r>
      <w:r w:rsidRPr="002E279E">
        <w:rPr>
          <w:rFonts w:asciiTheme="minorHAnsi" w:hAnsiTheme="minorHAnsi" w:cstheme="minorHAnsi"/>
          <w:sz w:val="22"/>
          <w:szCs w:val="22"/>
        </w:rPr>
        <w:t xml:space="preserve">that we will be notified later in the process of those compliance areas that apply to us and our Project and that </w:t>
      </w:r>
      <w:r w:rsidR="00D12ACA" w:rsidRPr="002E279E">
        <w:rPr>
          <w:rFonts w:asciiTheme="minorHAnsi" w:hAnsiTheme="minorHAnsi" w:cstheme="minorHAnsi"/>
          <w:sz w:val="22"/>
          <w:szCs w:val="22"/>
        </w:rPr>
        <w:t>th</w:t>
      </w:r>
      <w:r w:rsidR="00B61C41">
        <w:rPr>
          <w:rFonts w:asciiTheme="minorHAnsi" w:hAnsiTheme="minorHAnsi" w:cstheme="minorHAnsi"/>
          <w:sz w:val="22"/>
          <w:szCs w:val="22"/>
        </w:rPr>
        <w:t>ose</w:t>
      </w:r>
      <w:r w:rsidR="00D12ACA" w:rsidRPr="002E279E">
        <w:rPr>
          <w:rFonts w:asciiTheme="minorHAnsi" w:hAnsiTheme="minorHAnsi" w:cstheme="minorHAnsi"/>
          <w:sz w:val="22"/>
          <w:szCs w:val="22"/>
        </w:rPr>
        <w:t xml:space="preserve"> </w:t>
      </w:r>
      <w:r w:rsidRPr="002E279E">
        <w:rPr>
          <w:rFonts w:asciiTheme="minorHAnsi" w:hAnsiTheme="minorHAnsi" w:cstheme="minorHAnsi"/>
          <w:sz w:val="22"/>
          <w:szCs w:val="22"/>
        </w:rPr>
        <w:t xml:space="preserve">will depend in part on the source(s) and amount(s) of funds that may be awarded </w:t>
      </w:r>
      <w:r w:rsidR="006848BF" w:rsidRPr="002E279E">
        <w:rPr>
          <w:rFonts w:asciiTheme="minorHAnsi" w:hAnsiTheme="minorHAnsi" w:cstheme="minorHAnsi"/>
          <w:sz w:val="22"/>
          <w:szCs w:val="22"/>
        </w:rPr>
        <w:t>through the grant process.</w:t>
      </w:r>
    </w:p>
    <w:p w14:paraId="0D32A977" w14:textId="77777777" w:rsidR="00A338C5" w:rsidRDefault="00A338C5"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6B9BFB31" w14:textId="77777777" w:rsidR="00A338C5" w:rsidRPr="002E279E" w:rsidRDefault="00A338C5"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Pr>
          <w:rFonts w:asciiTheme="minorHAnsi" w:hAnsiTheme="minorHAnsi" w:cstheme="minorHAnsi"/>
          <w:sz w:val="22"/>
          <w:szCs w:val="22"/>
        </w:rPr>
        <w:t xml:space="preserve">We acknowledge that, unless otherwise communicated in writing by city staff, applicable compliance requirements will apply to the project </w:t>
      </w:r>
      <w:r w:rsidRPr="00A338C5">
        <w:rPr>
          <w:rFonts w:asciiTheme="minorHAnsi" w:hAnsiTheme="minorHAnsi" w:cstheme="minorHAnsi"/>
          <w:i/>
          <w:sz w:val="22"/>
          <w:szCs w:val="22"/>
        </w:rPr>
        <w:t>in its entirety</w:t>
      </w:r>
      <w:r>
        <w:rPr>
          <w:rFonts w:asciiTheme="minorHAnsi" w:hAnsiTheme="minorHAnsi" w:cstheme="minorHAnsi"/>
          <w:sz w:val="22"/>
          <w:szCs w:val="22"/>
        </w:rPr>
        <w:t xml:space="preserve">, and are not limited to the grant-funded activity. </w:t>
      </w:r>
    </w:p>
    <w:p w14:paraId="5A007325" w14:textId="77777777" w:rsidR="005F297B" w:rsidRPr="002E279E" w:rsidRDefault="005F297B"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5E4E4574" w14:textId="77777777" w:rsidR="005F297B" w:rsidRPr="002E279E" w:rsidRDefault="005F297B"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2E279E">
        <w:rPr>
          <w:rFonts w:asciiTheme="minorHAnsi" w:hAnsiTheme="minorHAnsi" w:cstheme="minorHAnsi"/>
          <w:sz w:val="22"/>
          <w:szCs w:val="22"/>
        </w:rPr>
        <w:t xml:space="preserve">We acknowledge receipt of the attached compliance matrix which provides a summary of the above listed Compliance </w:t>
      </w:r>
      <w:r w:rsidR="006848BF" w:rsidRPr="002E279E">
        <w:rPr>
          <w:rFonts w:asciiTheme="minorHAnsi" w:hAnsiTheme="minorHAnsi" w:cstheme="minorHAnsi"/>
          <w:sz w:val="22"/>
          <w:szCs w:val="22"/>
        </w:rPr>
        <w:t>areas</w:t>
      </w:r>
      <w:r w:rsidRPr="002E279E">
        <w:rPr>
          <w:rFonts w:asciiTheme="minorHAnsi" w:hAnsiTheme="minorHAnsi" w:cstheme="minorHAnsi"/>
          <w:sz w:val="22"/>
          <w:szCs w:val="22"/>
        </w:rPr>
        <w:t>. We can contact the Project Manager if more detail is desired for any</w:t>
      </w:r>
      <w:r w:rsidR="006848BF" w:rsidRPr="002E279E">
        <w:rPr>
          <w:rFonts w:asciiTheme="minorHAnsi" w:hAnsiTheme="minorHAnsi" w:cstheme="minorHAnsi"/>
          <w:sz w:val="22"/>
          <w:szCs w:val="22"/>
        </w:rPr>
        <w:t xml:space="preserve"> area of</w:t>
      </w:r>
      <w:r w:rsidRPr="002E279E">
        <w:rPr>
          <w:rFonts w:asciiTheme="minorHAnsi" w:hAnsiTheme="minorHAnsi" w:cstheme="minorHAnsi"/>
          <w:sz w:val="22"/>
          <w:szCs w:val="22"/>
        </w:rPr>
        <w:t xml:space="preserve"> Compliance</w:t>
      </w:r>
      <w:r w:rsidR="006848BF" w:rsidRPr="002E279E">
        <w:rPr>
          <w:rFonts w:asciiTheme="minorHAnsi" w:hAnsiTheme="minorHAnsi" w:cstheme="minorHAnsi"/>
          <w:sz w:val="22"/>
          <w:szCs w:val="22"/>
        </w:rPr>
        <w:t>.</w:t>
      </w:r>
    </w:p>
    <w:p w14:paraId="7BCB6C5F" w14:textId="77777777" w:rsidR="005F297B" w:rsidRPr="002E279E" w:rsidRDefault="005F297B"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460974AB" w14:textId="77777777" w:rsidR="005F297B" w:rsidRPr="002E279E" w:rsidRDefault="00B61C41"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Pr>
          <w:rFonts w:asciiTheme="minorHAnsi" w:hAnsiTheme="minorHAnsi" w:cstheme="minorHAnsi"/>
          <w:sz w:val="22"/>
          <w:szCs w:val="22"/>
        </w:rPr>
        <w:t>A</w:t>
      </w:r>
      <w:r w:rsidR="005F297B" w:rsidRPr="002E279E">
        <w:rPr>
          <w:rFonts w:asciiTheme="minorHAnsi" w:hAnsiTheme="minorHAnsi" w:cstheme="minorHAnsi"/>
          <w:sz w:val="22"/>
          <w:szCs w:val="22"/>
        </w:rPr>
        <w:t>cknowledgement of Compliance does not constitute or create an agreement</w:t>
      </w:r>
      <w:r w:rsidR="006848BF" w:rsidRPr="002E279E">
        <w:rPr>
          <w:rFonts w:asciiTheme="minorHAnsi" w:hAnsiTheme="minorHAnsi" w:cstheme="minorHAnsi"/>
          <w:sz w:val="22"/>
          <w:szCs w:val="22"/>
        </w:rPr>
        <w:t xml:space="preserve"> or representation</w:t>
      </w:r>
      <w:r w:rsidR="005F297B" w:rsidRPr="002E279E">
        <w:rPr>
          <w:rFonts w:asciiTheme="minorHAnsi" w:hAnsiTheme="minorHAnsi" w:cstheme="minorHAnsi"/>
          <w:sz w:val="22"/>
          <w:szCs w:val="22"/>
        </w:rPr>
        <w:t xml:space="preserve"> by the City of Saint Paul to approve the Project or grant any financing for the </w:t>
      </w:r>
      <w:r w:rsidR="00E72617" w:rsidRPr="002E279E">
        <w:rPr>
          <w:rFonts w:asciiTheme="minorHAnsi" w:hAnsiTheme="minorHAnsi" w:cstheme="minorHAnsi"/>
          <w:sz w:val="22"/>
          <w:szCs w:val="22"/>
        </w:rPr>
        <w:t>Project</w:t>
      </w:r>
      <w:r w:rsidR="00E72617">
        <w:rPr>
          <w:rFonts w:asciiTheme="minorHAnsi" w:hAnsiTheme="minorHAnsi" w:cstheme="minorHAnsi"/>
          <w:sz w:val="22"/>
          <w:szCs w:val="22"/>
        </w:rPr>
        <w:t>,</w:t>
      </w:r>
      <w:r w:rsidR="00E72617" w:rsidRPr="002E279E">
        <w:rPr>
          <w:rFonts w:asciiTheme="minorHAnsi" w:hAnsiTheme="minorHAnsi" w:cstheme="minorHAnsi"/>
          <w:sz w:val="22"/>
          <w:szCs w:val="22"/>
        </w:rPr>
        <w:t xml:space="preserve"> or</w:t>
      </w:r>
      <w:r w:rsidR="005F297B" w:rsidRPr="002E279E">
        <w:rPr>
          <w:rFonts w:asciiTheme="minorHAnsi" w:hAnsiTheme="minorHAnsi" w:cstheme="minorHAnsi"/>
          <w:sz w:val="22"/>
          <w:szCs w:val="22"/>
        </w:rPr>
        <w:t xml:space="preserve"> create any legal or equitable cause of action against the City arising from any failure or refusal by the City to approve the Project or any financing for the Project.   </w:t>
      </w:r>
    </w:p>
    <w:p w14:paraId="73CD9D35" w14:textId="77777777" w:rsidR="005F297B" w:rsidRPr="002E279E" w:rsidRDefault="005F297B"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3214F955" w14:textId="77777777" w:rsidR="005F297B" w:rsidRPr="002E279E" w:rsidRDefault="005F297B"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2E279E">
        <w:rPr>
          <w:rFonts w:asciiTheme="minorHAnsi" w:hAnsiTheme="minorHAnsi" w:cstheme="minorHAnsi"/>
          <w:sz w:val="22"/>
          <w:szCs w:val="22"/>
        </w:rPr>
        <w:lastRenderedPageBreak/>
        <w:t xml:space="preserve">Instead, we acknowledge that a legally binding contract will be formed only upon formal approval of the Project by the </w:t>
      </w:r>
      <w:r w:rsidR="006848BF" w:rsidRPr="002E279E">
        <w:rPr>
          <w:rFonts w:asciiTheme="minorHAnsi" w:hAnsiTheme="minorHAnsi" w:cstheme="minorHAnsi"/>
          <w:sz w:val="22"/>
          <w:szCs w:val="22"/>
        </w:rPr>
        <w:t>City Council</w:t>
      </w:r>
      <w:r w:rsidRPr="002E279E">
        <w:rPr>
          <w:rFonts w:asciiTheme="minorHAnsi" w:hAnsiTheme="minorHAnsi" w:cstheme="minorHAnsi"/>
          <w:sz w:val="22"/>
          <w:szCs w:val="22"/>
        </w:rPr>
        <w:t xml:space="preserve"> and execution of a legally binding agreement, the terms of which will be discussed with City staff.  Also, we agree not to make any waiver or estoppel arguments or to impose any agreement or binding legal obligation on the </w:t>
      </w:r>
      <w:r w:rsidR="00D12ACA" w:rsidRPr="002E279E">
        <w:rPr>
          <w:rFonts w:asciiTheme="minorHAnsi" w:hAnsiTheme="minorHAnsi" w:cstheme="minorHAnsi"/>
          <w:sz w:val="22"/>
          <w:szCs w:val="22"/>
        </w:rPr>
        <w:t>City by</w:t>
      </w:r>
      <w:r w:rsidRPr="002E279E">
        <w:rPr>
          <w:rFonts w:asciiTheme="minorHAnsi" w:hAnsiTheme="minorHAnsi" w:cstheme="minorHAnsi"/>
          <w:sz w:val="22"/>
          <w:szCs w:val="22"/>
        </w:rPr>
        <w:t xml:space="preserve"> actions taken by us in response to the</w:t>
      </w:r>
      <w:r w:rsidR="006848BF" w:rsidRPr="002E279E">
        <w:rPr>
          <w:rFonts w:asciiTheme="minorHAnsi" w:hAnsiTheme="minorHAnsi" w:cstheme="minorHAnsi"/>
          <w:sz w:val="22"/>
          <w:szCs w:val="22"/>
        </w:rPr>
        <w:t xml:space="preserve"> required</w:t>
      </w:r>
      <w:r w:rsidRPr="002E279E">
        <w:rPr>
          <w:rFonts w:asciiTheme="minorHAnsi" w:hAnsiTheme="minorHAnsi" w:cstheme="minorHAnsi"/>
          <w:sz w:val="22"/>
          <w:szCs w:val="22"/>
        </w:rPr>
        <w:t xml:space="preserve"> Compliance.</w:t>
      </w:r>
    </w:p>
    <w:p w14:paraId="69AE0E1D" w14:textId="77777777" w:rsidR="00F93A80" w:rsidRPr="002E279E" w:rsidRDefault="00F93A80"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55605F60" w14:textId="77777777" w:rsidR="00F93A80" w:rsidRPr="002E279E" w:rsidRDefault="005023AD"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2E279E">
        <w:rPr>
          <w:rFonts w:asciiTheme="minorHAnsi" w:hAnsiTheme="minorHAnsi" w:cstheme="minorHAnsi"/>
          <w:sz w:val="22"/>
          <w:szCs w:val="22"/>
        </w:rPr>
        <w:t>I hereby attest that I am an authorized signatory of [Developer]</w:t>
      </w:r>
      <w:r w:rsidR="006848BF" w:rsidRPr="002E279E">
        <w:rPr>
          <w:rFonts w:asciiTheme="minorHAnsi" w:hAnsiTheme="minorHAnsi" w:cstheme="minorHAnsi"/>
          <w:sz w:val="22"/>
          <w:szCs w:val="22"/>
        </w:rPr>
        <w:t xml:space="preserve"> and I am able to acknowledge </w:t>
      </w:r>
      <w:r w:rsidR="00D12ACA" w:rsidRPr="002E279E">
        <w:rPr>
          <w:rFonts w:asciiTheme="minorHAnsi" w:hAnsiTheme="minorHAnsi" w:cstheme="minorHAnsi"/>
          <w:sz w:val="22"/>
          <w:szCs w:val="22"/>
        </w:rPr>
        <w:t>the aforementioned on behalf of said developer</w:t>
      </w:r>
      <w:r w:rsidR="00EB5EB7" w:rsidRPr="002E279E">
        <w:rPr>
          <w:rFonts w:asciiTheme="minorHAnsi" w:hAnsiTheme="minorHAnsi" w:cstheme="minorHAnsi"/>
          <w:sz w:val="22"/>
          <w:szCs w:val="22"/>
        </w:rPr>
        <w:t>.</w:t>
      </w:r>
    </w:p>
    <w:p w14:paraId="6D37D4D7" w14:textId="77777777" w:rsidR="00EB5EB7" w:rsidRPr="002E279E" w:rsidRDefault="00EB5EB7"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11ED3CB0" w14:textId="77777777" w:rsidR="00F93A80" w:rsidRPr="002E279E" w:rsidRDefault="00F93A80"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2E279E">
        <w:rPr>
          <w:rFonts w:asciiTheme="minorHAnsi" w:hAnsiTheme="minorHAnsi" w:cstheme="minorHAnsi"/>
          <w:sz w:val="22"/>
          <w:szCs w:val="22"/>
        </w:rPr>
        <w:t>[Signed by</w:t>
      </w:r>
      <w:r w:rsidR="005B5502">
        <w:rPr>
          <w:rFonts w:asciiTheme="minorHAnsi" w:hAnsiTheme="minorHAnsi" w:cstheme="minorHAnsi"/>
          <w:sz w:val="22"/>
          <w:szCs w:val="22"/>
        </w:rPr>
        <w:t xml:space="preserve"> a representative of the entity with which the city may enter into a contract; this letter may not be signed by a consultant applying for funds on behalf of a developer.</w:t>
      </w:r>
      <w:r w:rsidRPr="002E279E">
        <w:rPr>
          <w:rFonts w:asciiTheme="minorHAnsi" w:hAnsiTheme="minorHAnsi" w:cstheme="minorHAnsi"/>
          <w:sz w:val="22"/>
          <w:szCs w:val="22"/>
        </w:rPr>
        <w:t>]</w:t>
      </w:r>
    </w:p>
    <w:p w14:paraId="553DD3B9" w14:textId="77777777" w:rsidR="00F93A80" w:rsidRPr="002E279E" w:rsidRDefault="00F93A80"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3FF04B5B" w14:textId="77777777" w:rsidR="00F93A80" w:rsidRPr="002E279E" w:rsidRDefault="00EB5EB7"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2E279E">
        <w:rPr>
          <w:rFonts w:asciiTheme="minorHAnsi" w:hAnsiTheme="minorHAnsi" w:cstheme="minorHAnsi"/>
          <w:sz w:val="22"/>
          <w:szCs w:val="22"/>
        </w:rPr>
        <w:t>[Name]</w:t>
      </w:r>
    </w:p>
    <w:p w14:paraId="0087B229" w14:textId="77777777" w:rsidR="00EB5EB7" w:rsidRPr="002E279E" w:rsidRDefault="00EB5EB7"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2E279E">
        <w:rPr>
          <w:rFonts w:asciiTheme="minorHAnsi" w:hAnsiTheme="minorHAnsi" w:cstheme="minorHAnsi"/>
          <w:sz w:val="22"/>
          <w:szCs w:val="22"/>
        </w:rPr>
        <w:t>[Title]</w:t>
      </w:r>
    </w:p>
    <w:p w14:paraId="70CA8909" w14:textId="77777777" w:rsidR="00D12ACA" w:rsidRPr="002E279E" w:rsidRDefault="00D12ACA"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2E279E">
        <w:rPr>
          <w:rFonts w:asciiTheme="minorHAnsi" w:hAnsiTheme="minorHAnsi" w:cstheme="minorHAnsi"/>
          <w:sz w:val="22"/>
          <w:szCs w:val="22"/>
        </w:rPr>
        <w:t>[Development company or organization]</w:t>
      </w:r>
    </w:p>
    <w:p w14:paraId="24F81CAD" w14:textId="77777777" w:rsidR="00F93A80" w:rsidRPr="002E279E" w:rsidRDefault="00F93A80"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5D70E858" w14:textId="77777777" w:rsidR="00F93A80" w:rsidRPr="002E279E" w:rsidRDefault="00F93A80"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2E279E">
        <w:rPr>
          <w:rFonts w:asciiTheme="minorHAnsi" w:hAnsiTheme="minorHAnsi" w:cstheme="minorHAnsi"/>
          <w:sz w:val="22"/>
          <w:szCs w:val="22"/>
        </w:rPr>
        <w:t>cc:</w:t>
      </w:r>
      <w:r w:rsidRPr="002E279E">
        <w:rPr>
          <w:rFonts w:asciiTheme="minorHAnsi" w:hAnsiTheme="minorHAnsi" w:cstheme="minorHAnsi"/>
          <w:sz w:val="22"/>
          <w:szCs w:val="22"/>
        </w:rPr>
        <w:tab/>
        <w:t>Deputy Director, Division of Contract Compliance and Business Development</w:t>
      </w:r>
    </w:p>
    <w:p w14:paraId="4F8E6D75" w14:textId="77777777" w:rsidR="00F93A80" w:rsidRPr="002E279E" w:rsidRDefault="00F93A80" w:rsidP="007642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2E279E">
        <w:rPr>
          <w:rFonts w:asciiTheme="minorHAnsi" w:hAnsiTheme="minorHAnsi" w:cstheme="minorHAnsi"/>
          <w:sz w:val="22"/>
          <w:szCs w:val="22"/>
        </w:rPr>
        <w:tab/>
        <w:t>Department of Human Rights and Equal Economic Opportunity</w:t>
      </w:r>
    </w:p>
    <w:p w14:paraId="2609F427" w14:textId="77777777" w:rsidR="00F93A80" w:rsidRDefault="00F93A80" w:rsidP="00F93A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E83D0E" w14:textId="77777777" w:rsidR="00F93A80" w:rsidRDefault="00F93A80" w:rsidP="00F93A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7B2776" w14:textId="77777777" w:rsidR="00F93A80" w:rsidRDefault="00F93A80" w:rsidP="00F93A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DA5D0DA" w14:textId="77777777" w:rsidR="00F93A80" w:rsidRDefault="00F93A80" w:rsidP="00F93A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F93A80" w:rsidSect="001F6613">
          <w:footnotePr>
            <w:numFmt w:val="lowerLetter"/>
          </w:footnotePr>
          <w:endnotePr>
            <w:numFmt w:val="lowerLetter"/>
          </w:endnotePr>
          <w:pgSz w:w="12240" w:h="15840"/>
          <w:pgMar w:top="1440" w:right="1440" w:bottom="936" w:left="1440" w:header="1440" w:footer="29" w:gutter="0"/>
          <w:cols w:space="720"/>
        </w:sectPr>
      </w:pPr>
    </w:p>
    <w:tbl>
      <w:tblPr>
        <w:tblW w:w="11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60"/>
        <w:gridCol w:w="2304"/>
        <w:gridCol w:w="3600"/>
        <w:gridCol w:w="3240"/>
      </w:tblGrid>
      <w:tr w:rsidR="00F93A80" w:rsidRPr="00F158B5" w14:paraId="3077FA1F" w14:textId="77777777" w:rsidTr="00631CB5">
        <w:trPr>
          <w:tblHeader/>
          <w:jc w:val="center"/>
        </w:trPr>
        <w:tc>
          <w:tcPr>
            <w:tcW w:w="2160" w:type="dxa"/>
            <w:shd w:val="clear" w:color="auto" w:fill="808080"/>
            <w:vAlign w:val="center"/>
          </w:tcPr>
          <w:p w14:paraId="0D4A261F" w14:textId="77777777" w:rsidR="00F93A80" w:rsidRPr="00F158B5" w:rsidRDefault="00F93A80" w:rsidP="00631CB5">
            <w:pPr>
              <w:spacing w:after="60"/>
              <w:jc w:val="center"/>
              <w:rPr>
                <w:b/>
                <w:color w:val="FFFFFF"/>
                <w:sz w:val="18"/>
                <w:szCs w:val="18"/>
              </w:rPr>
            </w:pPr>
            <w:r w:rsidRPr="00F158B5">
              <w:rPr>
                <w:b/>
                <w:color w:val="FFFFFF"/>
                <w:sz w:val="18"/>
                <w:szCs w:val="18"/>
              </w:rPr>
              <w:lastRenderedPageBreak/>
              <w:t>Compliance</w:t>
            </w:r>
          </w:p>
        </w:tc>
        <w:tc>
          <w:tcPr>
            <w:tcW w:w="2304" w:type="dxa"/>
            <w:shd w:val="clear" w:color="auto" w:fill="808080"/>
            <w:vAlign w:val="center"/>
          </w:tcPr>
          <w:p w14:paraId="70A52E87" w14:textId="77777777" w:rsidR="00F93A80" w:rsidRPr="00F158B5" w:rsidRDefault="00F93A80" w:rsidP="00631CB5">
            <w:pPr>
              <w:spacing w:after="60"/>
              <w:jc w:val="center"/>
              <w:rPr>
                <w:b/>
                <w:color w:val="FFFFFF"/>
                <w:sz w:val="18"/>
                <w:szCs w:val="18"/>
              </w:rPr>
            </w:pPr>
            <w:r w:rsidRPr="00F158B5">
              <w:rPr>
                <w:b/>
                <w:color w:val="FFFFFF"/>
                <w:sz w:val="18"/>
                <w:szCs w:val="18"/>
              </w:rPr>
              <w:t>Thresholds</w:t>
            </w:r>
          </w:p>
        </w:tc>
        <w:tc>
          <w:tcPr>
            <w:tcW w:w="3600" w:type="dxa"/>
            <w:shd w:val="clear" w:color="auto" w:fill="808080"/>
            <w:vAlign w:val="center"/>
          </w:tcPr>
          <w:p w14:paraId="0BF6E4E3" w14:textId="77777777" w:rsidR="00F93A80" w:rsidRPr="00F158B5" w:rsidRDefault="00F93A80" w:rsidP="00631CB5">
            <w:pPr>
              <w:spacing w:after="60"/>
              <w:jc w:val="center"/>
              <w:rPr>
                <w:b/>
                <w:color w:val="FFFFFF"/>
                <w:sz w:val="18"/>
                <w:szCs w:val="18"/>
              </w:rPr>
            </w:pPr>
            <w:r w:rsidRPr="00F158B5">
              <w:rPr>
                <w:b/>
                <w:color w:val="FFFFFF"/>
                <w:sz w:val="18"/>
                <w:szCs w:val="18"/>
              </w:rPr>
              <w:t>Requirements</w:t>
            </w:r>
          </w:p>
        </w:tc>
        <w:tc>
          <w:tcPr>
            <w:tcW w:w="3240" w:type="dxa"/>
            <w:shd w:val="clear" w:color="auto" w:fill="808080"/>
            <w:vAlign w:val="center"/>
          </w:tcPr>
          <w:p w14:paraId="19B7850D" w14:textId="77777777" w:rsidR="00F93A80" w:rsidRPr="00F158B5" w:rsidRDefault="00F93A80" w:rsidP="00631CB5">
            <w:pPr>
              <w:spacing w:after="60"/>
              <w:jc w:val="center"/>
              <w:rPr>
                <w:b/>
                <w:color w:val="FFFFFF"/>
                <w:sz w:val="18"/>
                <w:szCs w:val="18"/>
              </w:rPr>
            </w:pPr>
            <w:r w:rsidRPr="00F158B5">
              <w:rPr>
                <w:b/>
                <w:color w:val="FFFFFF"/>
                <w:sz w:val="18"/>
                <w:szCs w:val="18"/>
              </w:rPr>
              <w:t>Exemptions</w:t>
            </w:r>
          </w:p>
        </w:tc>
      </w:tr>
      <w:tr w:rsidR="005F297B" w:rsidRPr="00F158B5" w14:paraId="320BE240" w14:textId="77777777" w:rsidTr="00631CB5">
        <w:trPr>
          <w:cantSplit/>
          <w:jc w:val="center"/>
        </w:trPr>
        <w:tc>
          <w:tcPr>
            <w:tcW w:w="2160" w:type="dxa"/>
            <w:shd w:val="clear" w:color="auto" w:fill="F2F2F2"/>
          </w:tcPr>
          <w:p w14:paraId="05C34C29" w14:textId="77777777" w:rsidR="005F297B" w:rsidRPr="00A478A3" w:rsidRDefault="005F297B" w:rsidP="00631CB5">
            <w:pPr>
              <w:spacing w:after="60"/>
              <w:rPr>
                <w:rFonts w:ascii="Calibri" w:hAnsi="Calibri"/>
                <w:b/>
              </w:rPr>
            </w:pPr>
            <w:r w:rsidRPr="00A478A3">
              <w:rPr>
                <w:rFonts w:ascii="Calibri" w:hAnsi="Calibri"/>
                <w:b/>
              </w:rPr>
              <w:t>Affirmative Action / Equal Employment Opportunity (AA/EEO)</w:t>
            </w:r>
          </w:p>
        </w:tc>
        <w:tc>
          <w:tcPr>
            <w:tcW w:w="2304" w:type="dxa"/>
            <w:shd w:val="clear" w:color="auto" w:fill="F2F2F2"/>
          </w:tcPr>
          <w:p w14:paraId="304D6CA7" w14:textId="77777777" w:rsidR="005F297B" w:rsidRPr="004B7EC3" w:rsidRDefault="005F297B" w:rsidP="002B2D99">
            <w:pPr>
              <w:rPr>
                <w:rFonts w:asciiTheme="minorHAnsi" w:hAnsiTheme="minorHAnsi"/>
                <w:sz w:val="18"/>
                <w:szCs w:val="18"/>
              </w:rPr>
            </w:pPr>
            <w:r>
              <w:rPr>
                <w:rFonts w:asciiTheme="minorHAnsi" w:hAnsiTheme="minorHAnsi"/>
                <w:sz w:val="18"/>
                <w:szCs w:val="18"/>
              </w:rPr>
              <w:t>a)</w:t>
            </w:r>
            <w:r w:rsidR="00A37014">
              <w:rPr>
                <w:rFonts w:asciiTheme="minorHAnsi" w:hAnsiTheme="minorHAnsi"/>
                <w:sz w:val="18"/>
                <w:szCs w:val="18"/>
              </w:rPr>
              <w:t xml:space="preserve"> </w:t>
            </w:r>
            <w:r w:rsidRPr="004B7EC3">
              <w:rPr>
                <w:rFonts w:asciiTheme="minorHAnsi" w:hAnsiTheme="minorHAnsi"/>
                <w:sz w:val="18"/>
                <w:szCs w:val="18"/>
              </w:rPr>
              <w:t>$50,000, total public subsidy or contract, cumulative over 12 months, OR</w:t>
            </w:r>
          </w:p>
          <w:p w14:paraId="254E1F82" w14:textId="77777777" w:rsidR="005F297B" w:rsidRPr="00A478A3" w:rsidRDefault="005F297B" w:rsidP="002B2D99">
            <w:pPr>
              <w:rPr>
                <w:rFonts w:ascii="Calibri" w:hAnsi="Calibri"/>
                <w:sz w:val="18"/>
                <w:szCs w:val="18"/>
              </w:rPr>
            </w:pPr>
            <w:r>
              <w:rPr>
                <w:rFonts w:asciiTheme="minorHAnsi" w:hAnsiTheme="minorHAnsi"/>
                <w:sz w:val="18"/>
                <w:szCs w:val="18"/>
              </w:rPr>
              <w:t>b)</w:t>
            </w:r>
            <w:r w:rsidR="007642C3">
              <w:rPr>
                <w:rFonts w:asciiTheme="minorHAnsi" w:hAnsiTheme="minorHAnsi"/>
                <w:sz w:val="18"/>
                <w:szCs w:val="18"/>
              </w:rPr>
              <w:t xml:space="preserve"> </w:t>
            </w:r>
            <w:r w:rsidRPr="00AF1B7E">
              <w:rPr>
                <w:rFonts w:asciiTheme="minorHAnsi" w:hAnsiTheme="minorHAnsi"/>
                <w:sz w:val="18"/>
                <w:szCs w:val="18"/>
              </w:rPr>
              <w:t>Sales made under HRA Land disposition policy</w:t>
            </w:r>
          </w:p>
        </w:tc>
        <w:tc>
          <w:tcPr>
            <w:tcW w:w="3600" w:type="dxa"/>
            <w:shd w:val="clear" w:color="auto" w:fill="F2F2F2"/>
          </w:tcPr>
          <w:p w14:paraId="411B73BA" w14:textId="77777777" w:rsidR="005F297B" w:rsidRPr="007819C2" w:rsidRDefault="005F297B" w:rsidP="002B2D99">
            <w:pPr>
              <w:spacing w:after="60"/>
              <w:rPr>
                <w:rFonts w:ascii="Calibri" w:hAnsi="Calibri"/>
                <w:sz w:val="18"/>
                <w:szCs w:val="18"/>
              </w:rPr>
            </w:pPr>
            <w:r>
              <w:rPr>
                <w:rFonts w:ascii="Calibri" w:hAnsi="Calibri"/>
                <w:sz w:val="18"/>
                <w:szCs w:val="18"/>
              </w:rPr>
              <w:t xml:space="preserve">a. On any project over $50,000, all contractors, prime and sub, have a goal of 32% for minorities and 20% for women participating on the project. b. In addition, the recipient must file an affirmative action program registration to diversify and implement fair employment practices with its workforce. The registration with the city remains in effect for 2 years. </w:t>
            </w:r>
          </w:p>
        </w:tc>
        <w:tc>
          <w:tcPr>
            <w:tcW w:w="3240" w:type="dxa"/>
            <w:shd w:val="clear" w:color="auto" w:fill="F2F2F2"/>
          </w:tcPr>
          <w:p w14:paraId="55337492" w14:textId="77777777" w:rsidR="005F297B" w:rsidRPr="00A478A3" w:rsidRDefault="005F297B" w:rsidP="00631CB5">
            <w:pPr>
              <w:spacing w:after="60"/>
              <w:rPr>
                <w:rFonts w:ascii="Calibri" w:hAnsi="Calibri"/>
                <w:sz w:val="18"/>
                <w:szCs w:val="18"/>
              </w:rPr>
            </w:pPr>
            <w:r w:rsidRPr="00A478A3">
              <w:rPr>
                <w:rFonts w:ascii="Calibri" w:hAnsi="Calibri"/>
                <w:sz w:val="18"/>
                <w:szCs w:val="18"/>
              </w:rPr>
              <w:t>None</w:t>
            </w:r>
          </w:p>
        </w:tc>
      </w:tr>
      <w:tr w:rsidR="00F93A80" w:rsidRPr="00F158B5" w14:paraId="41F129F7" w14:textId="77777777" w:rsidTr="00631CB5">
        <w:trPr>
          <w:cantSplit/>
          <w:jc w:val="center"/>
        </w:trPr>
        <w:tc>
          <w:tcPr>
            <w:tcW w:w="2160" w:type="dxa"/>
          </w:tcPr>
          <w:p w14:paraId="0CF38998" w14:textId="77777777" w:rsidR="00F93A80" w:rsidRPr="00A478A3" w:rsidRDefault="00F93A80" w:rsidP="00631CB5">
            <w:pPr>
              <w:spacing w:after="60"/>
              <w:rPr>
                <w:rFonts w:ascii="Calibri" w:hAnsi="Calibri"/>
                <w:b/>
                <w:szCs w:val="24"/>
              </w:rPr>
            </w:pPr>
            <w:r w:rsidRPr="00A478A3">
              <w:rPr>
                <w:rFonts w:ascii="Calibri" w:hAnsi="Calibri"/>
                <w:b/>
              </w:rPr>
              <w:t xml:space="preserve">Bonds </w:t>
            </w:r>
            <w:r>
              <w:rPr>
                <w:rFonts w:ascii="Calibri" w:hAnsi="Calibri"/>
                <w:sz w:val="18"/>
                <w:szCs w:val="18"/>
              </w:rPr>
              <w:t xml:space="preserve">– revenue and conduit </w:t>
            </w:r>
            <w:r w:rsidRPr="00A478A3">
              <w:rPr>
                <w:rFonts w:ascii="Calibri" w:hAnsi="Calibri"/>
                <w:sz w:val="18"/>
                <w:szCs w:val="18"/>
              </w:rPr>
              <w:t>(includes 4% tax credits)</w:t>
            </w:r>
          </w:p>
        </w:tc>
        <w:tc>
          <w:tcPr>
            <w:tcW w:w="2304" w:type="dxa"/>
          </w:tcPr>
          <w:p w14:paraId="75F2459C" w14:textId="77777777" w:rsidR="00F93A80" w:rsidRPr="00A478A3" w:rsidRDefault="00F93A80" w:rsidP="00631CB5">
            <w:pPr>
              <w:spacing w:after="60"/>
              <w:rPr>
                <w:rFonts w:ascii="Calibri" w:hAnsi="Calibri"/>
                <w:sz w:val="18"/>
                <w:szCs w:val="18"/>
              </w:rPr>
            </w:pPr>
            <w:r w:rsidRPr="00A478A3">
              <w:rPr>
                <w:rFonts w:ascii="Calibri" w:hAnsi="Calibri"/>
                <w:sz w:val="18"/>
                <w:szCs w:val="18"/>
              </w:rPr>
              <w:t>All Bonds – No threshold</w:t>
            </w:r>
          </w:p>
        </w:tc>
        <w:tc>
          <w:tcPr>
            <w:tcW w:w="3600" w:type="dxa"/>
          </w:tcPr>
          <w:p w14:paraId="6A65771E" w14:textId="77777777" w:rsidR="00F93A80" w:rsidRPr="00A478A3" w:rsidRDefault="00F93A80" w:rsidP="00631CB5">
            <w:pPr>
              <w:spacing w:after="60"/>
              <w:rPr>
                <w:rFonts w:ascii="Calibri" w:hAnsi="Calibri"/>
                <w:sz w:val="18"/>
                <w:szCs w:val="18"/>
              </w:rPr>
            </w:pPr>
            <w:r w:rsidRPr="00A478A3">
              <w:rPr>
                <w:rFonts w:ascii="Calibri" w:hAnsi="Calibri"/>
                <w:sz w:val="18"/>
                <w:szCs w:val="18"/>
              </w:rPr>
              <w:t>Little Davis-Bacon, Affirmative Action, Vendor Outreach</w:t>
            </w:r>
            <w:r>
              <w:rPr>
                <w:rFonts w:ascii="Calibri" w:hAnsi="Calibri"/>
                <w:sz w:val="18"/>
                <w:szCs w:val="18"/>
              </w:rPr>
              <w:t>, Sustainable Green Policy (for Housing Revenue Bonds)</w:t>
            </w:r>
          </w:p>
        </w:tc>
        <w:tc>
          <w:tcPr>
            <w:tcW w:w="3240" w:type="dxa"/>
          </w:tcPr>
          <w:p w14:paraId="5197A711" w14:textId="77777777" w:rsidR="00F93A80" w:rsidRPr="00A478A3" w:rsidRDefault="00F93A80" w:rsidP="00631CB5">
            <w:pPr>
              <w:spacing w:after="60"/>
              <w:rPr>
                <w:rFonts w:ascii="Calibri" w:hAnsi="Calibri"/>
                <w:sz w:val="18"/>
                <w:szCs w:val="18"/>
              </w:rPr>
            </w:pPr>
            <w:r w:rsidRPr="00A478A3">
              <w:rPr>
                <w:rFonts w:ascii="Calibri" w:hAnsi="Calibri"/>
                <w:sz w:val="18"/>
                <w:szCs w:val="18"/>
              </w:rPr>
              <w:t>None</w:t>
            </w:r>
          </w:p>
        </w:tc>
      </w:tr>
      <w:tr w:rsidR="00F93A80" w:rsidRPr="00F158B5" w14:paraId="705ABE20" w14:textId="77777777" w:rsidTr="00631CB5">
        <w:trPr>
          <w:cantSplit/>
          <w:jc w:val="center"/>
        </w:trPr>
        <w:tc>
          <w:tcPr>
            <w:tcW w:w="2160" w:type="dxa"/>
            <w:shd w:val="clear" w:color="auto" w:fill="F2F2F2"/>
          </w:tcPr>
          <w:p w14:paraId="5BE3CD0F" w14:textId="77777777" w:rsidR="00F93A80" w:rsidRPr="00A478A3" w:rsidRDefault="00F93A80" w:rsidP="00631CB5">
            <w:pPr>
              <w:spacing w:after="60"/>
              <w:rPr>
                <w:rFonts w:ascii="Calibri" w:hAnsi="Calibri"/>
                <w:b/>
                <w:szCs w:val="24"/>
              </w:rPr>
            </w:pPr>
            <w:r w:rsidRPr="00A478A3">
              <w:rPr>
                <w:rFonts w:ascii="Calibri" w:hAnsi="Calibri"/>
                <w:b/>
              </w:rPr>
              <w:t>Business Subsidy</w:t>
            </w:r>
            <w:r w:rsidRPr="00A478A3">
              <w:rPr>
                <w:rFonts w:ascii="Calibri" w:hAnsi="Calibri"/>
                <w:b/>
                <w:szCs w:val="24"/>
              </w:rPr>
              <w:t xml:space="preserve"> </w:t>
            </w:r>
          </w:p>
          <w:p w14:paraId="4D3E9A9B" w14:textId="77777777" w:rsidR="00F93A80" w:rsidRPr="00A478A3" w:rsidRDefault="00F93A80" w:rsidP="00631CB5">
            <w:pPr>
              <w:spacing w:after="60"/>
              <w:rPr>
                <w:rFonts w:ascii="Calibri" w:hAnsi="Calibri"/>
                <w:b/>
                <w:szCs w:val="24"/>
              </w:rPr>
            </w:pPr>
            <w:r w:rsidRPr="00A478A3">
              <w:rPr>
                <w:rFonts w:ascii="Calibri" w:hAnsi="Calibri"/>
                <w:sz w:val="18"/>
                <w:szCs w:val="18"/>
              </w:rPr>
              <w:t>(State Law Chapter 116J.993)</w:t>
            </w:r>
          </w:p>
        </w:tc>
        <w:tc>
          <w:tcPr>
            <w:tcW w:w="2304" w:type="dxa"/>
            <w:shd w:val="clear" w:color="auto" w:fill="F2F2F2"/>
          </w:tcPr>
          <w:p w14:paraId="75BE0432" w14:textId="77777777" w:rsidR="00F93A80" w:rsidRPr="00A478A3" w:rsidRDefault="00F93A80" w:rsidP="00631CB5">
            <w:pPr>
              <w:pStyle w:val="ListParagraph"/>
              <w:spacing w:after="60" w:line="240" w:lineRule="auto"/>
              <w:ind w:left="0"/>
              <w:contextualSpacing w:val="0"/>
              <w:rPr>
                <w:sz w:val="18"/>
                <w:szCs w:val="18"/>
              </w:rPr>
            </w:pPr>
            <w:r>
              <w:rPr>
                <w:sz w:val="18"/>
                <w:szCs w:val="18"/>
              </w:rPr>
              <w:t>a) $</w:t>
            </w:r>
            <w:r w:rsidRPr="00A478A3">
              <w:rPr>
                <w:sz w:val="18"/>
                <w:szCs w:val="18"/>
              </w:rPr>
              <w:t xml:space="preserve">150,000 for </w:t>
            </w:r>
            <w:r w:rsidRPr="00806FF9">
              <w:rPr>
                <w:sz w:val="18"/>
                <w:szCs w:val="18"/>
                <w:u w:val="single"/>
              </w:rPr>
              <w:t>grant or other subsidy</w:t>
            </w:r>
            <w:r w:rsidRPr="00A478A3">
              <w:rPr>
                <w:sz w:val="18"/>
                <w:szCs w:val="18"/>
              </w:rPr>
              <w:t>, yearly reporting is required beginning at $25,000;</w:t>
            </w:r>
          </w:p>
          <w:p w14:paraId="15B3F4D8" w14:textId="77777777" w:rsidR="00F93A80" w:rsidRPr="00A478A3" w:rsidRDefault="00F93A80" w:rsidP="00631CB5">
            <w:pPr>
              <w:pStyle w:val="ListParagraph"/>
              <w:spacing w:after="60" w:line="240" w:lineRule="auto"/>
              <w:ind w:left="0"/>
              <w:contextualSpacing w:val="0"/>
              <w:rPr>
                <w:sz w:val="18"/>
                <w:szCs w:val="18"/>
              </w:rPr>
            </w:pPr>
            <w:r>
              <w:rPr>
                <w:sz w:val="18"/>
                <w:szCs w:val="18"/>
              </w:rPr>
              <w:t xml:space="preserve">b) </w:t>
            </w:r>
            <w:r w:rsidRPr="00A478A3">
              <w:rPr>
                <w:sz w:val="18"/>
                <w:szCs w:val="18"/>
              </w:rPr>
              <w:t xml:space="preserve">over $150,000 for </w:t>
            </w:r>
            <w:r w:rsidRPr="00806FF9">
              <w:rPr>
                <w:sz w:val="18"/>
                <w:szCs w:val="18"/>
                <w:u w:val="single"/>
              </w:rPr>
              <w:t>loan or loan guarantee</w:t>
            </w:r>
            <w:r w:rsidRPr="00A478A3">
              <w:rPr>
                <w:sz w:val="18"/>
                <w:szCs w:val="18"/>
              </w:rPr>
              <w:t xml:space="preserve">, yearly reporting required beginning at $75,000 </w:t>
            </w:r>
          </w:p>
        </w:tc>
        <w:tc>
          <w:tcPr>
            <w:tcW w:w="3600" w:type="dxa"/>
            <w:shd w:val="clear" w:color="auto" w:fill="F2F2F2"/>
          </w:tcPr>
          <w:p w14:paraId="33C4AD8E" w14:textId="77777777" w:rsidR="00F93A80" w:rsidRPr="00A478A3" w:rsidRDefault="00F93A80" w:rsidP="00631CB5">
            <w:pPr>
              <w:spacing w:after="60"/>
              <w:rPr>
                <w:rFonts w:ascii="Calibri" w:hAnsi="Calibri"/>
                <w:sz w:val="18"/>
                <w:szCs w:val="18"/>
              </w:rPr>
            </w:pPr>
            <w:r w:rsidRPr="00A478A3">
              <w:rPr>
                <w:rFonts w:ascii="Calibri" w:hAnsi="Calibri"/>
                <w:sz w:val="18"/>
                <w:szCs w:val="18"/>
              </w:rPr>
              <w:t>Wage and job goals, reporting.</w:t>
            </w:r>
          </w:p>
        </w:tc>
        <w:tc>
          <w:tcPr>
            <w:tcW w:w="3240" w:type="dxa"/>
            <w:shd w:val="clear" w:color="auto" w:fill="F2F2F2"/>
          </w:tcPr>
          <w:p w14:paraId="1B42E513" w14:textId="77777777" w:rsidR="00F93A80" w:rsidRPr="00A478A3" w:rsidRDefault="00F93A80" w:rsidP="00631CB5">
            <w:pPr>
              <w:spacing w:after="60"/>
              <w:rPr>
                <w:rFonts w:ascii="Calibri" w:hAnsi="Calibri"/>
                <w:sz w:val="18"/>
                <w:szCs w:val="18"/>
              </w:rPr>
            </w:pPr>
            <w:r w:rsidRPr="00A478A3">
              <w:rPr>
                <w:rFonts w:ascii="Calibri" w:hAnsi="Calibri"/>
                <w:sz w:val="18"/>
                <w:szCs w:val="18"/>
              </w:rPr>
              <w:t xml:space="preserve">Redevelopment when purchase of the site and site preparation is greater than 70% of assessed value, redevelopment of contaminated property, pollution control or abatement, renovation of old buildings or historic district assistance when assistance is less than 50% of cost, energy conservation, </w:t>
            </w:r>
            <w:r w:rsidRPr="00A478A3">
              <w:rPr>
                <w:rFonts w:ascii="Calibri" w:hAnsi="Calibri"/>
                <w:sz w:val="18"/>
                <w:szCs w:val="18"/>
                <w:u w:val="single"/>
              </w:rPr>
              <w:t>housing</w:t>
            </w:r>
            <w:r w:rsidRPr="00A478A3">
              <w:rPr>
                <w:rFonts w:ascii="Calibri" w:hAnsi="Calibri"/>
                <w:sz w:val="18"/>
                <w:szCs w:val="18"/>
              </w:rPr>
              <w:t xml:space="preserve">, certain non-profit corporations, and other exemptions. </w:t>
            </w:r>
          </w:p>
        </w:tc>
      </w:tr>
      <w:tr w:rsidR="005F297B" w:rsidRPr="00F158B5" w14:paraId="39EF6698" w14:textId="77777777" w:rsidTr="00631CB5">
        <w:trPr>
          <w:cantSplit/>
          <w:jc w:val="center"/>
        </w:trPr>
        <w:tc>
          <w:tcPr>
            <w:tcW w:w="2160" w:type="dxa"/>
          </w:tcPr>
          <w:p w14:paraId="643CC29D" w14:textId="77777777" w:rsidR="005F297B" w:rsidRPr="00A478A3" w:rsidRDefault="005F297B" w:rsidP="00631CB5">
            <w:pPr>
              <w:spacing w:after="60"/>
              <w:rPr>
                <w:rFonts w:ascii="Calibri" w:hAnsi="Calibri"/>
                <w:b/>
              </w:rPr>
            </w:pPr>
            <w:r w:rsidRPr="00A478A3">
              <w:rPr>
                <w:rFonts w:ascii="Calibri" w:hAnsi="Calibri"/>
                <w:b/>
              </w:rPr>
              <w:t xml:space="preserve">City Labor Standards </w:t>
            </w:r>
            <w:r w:rsidRPr="00A478A3">
              <w:rPr>
                <w:rFonts w:ascii="Calibri" w:hAnsi="Calibri"/>
                <w:b/>
              </w:rPr>
              <w:br/>
              <w:t xml:space="preserve">(Little </w:t>
            </w:r>
            <w:r w:rsidRPr="00A478A3">
              <w:rPr>
                <w:rFonts w:ascii="Calibri" w:hAnsi="Calibri"/>
                <w:b/>
              </w:rPr>
              <w:br/>
              <w:t>Davis-Bacon)</w:t>
            </w:r>
          </w:p>
        </w:tc>
        <w:tc>
          <w:tcPr>
            <w:tcW w:w="2304" w:type="dxa"/>
          </w:tcPr>
          <w:p w14:paraId="0A02FDF2" w14:textId="77777777" w:rsidR="005F297B" w:rsidRPr="00A478A3" w:rsidRDefault="005F297B" w:rsidP="002B2D99">
            <w:pPr>
              <w:spacing w:after="60"/>
              <w:rPr>
                <w:rFonts w:ascii="Calibri" w:hAnsi="Calibri"/>
                <w:sz w:val="18"/>
                <w:szCs w:val="18"/>
              </w:rPr>
            </w:pPr>
            <w:r w:rsidRPr="00A478A3">
              <w:rPr>
                <w:rFonts w:ascii="Calibri" w:hAnsi="Calibri"/>
                <w:sz w:val="18"/>
                <w:szCs w:val="18"/>
              </w:rPr>
              <w:t>$25,000</w:t>
            </w:r>
            <w:r w:rsidRPr="00A478A3">
              <w:rPr>
                <w:rFonts w:ascii="Calibri" w:hAnsi="Calibri"/>
                <w:sz w:val="18"/>
                <w:szCs w:val="18"/>
              </w:rPr>
              <w:br/>
              <w:t>(total project cost)</w:t>
            </w:r>
          </w:p>
        </w:tc>
        <w:tc>
          <w:tcPr>
            <w:tcW w:w="3600" w:type="dxa"/>
          </w:tcPr>
          <w:p w14:paraId="2FD4D886" w14:textId="77777777" w:rsidR="005F297B" w:rsidRPr="00A478A3" w:rsidRDefault="005F297B" w:rsidP="002B2D99">
            <w:pPr>
              <w:spacing w:after="60"/>
              <w:rPr>
                <w:rFonts w:ascii="Calibri" w:hAnsi="Calibri"/>
                <w:sz w:val="18"/>
                <w:szCs w:val="18"/>
              </w:rPr>
            </w:pPr>
            <w:r w:rsidRPr="00A478A3">
              <w:rPr>
                <w:rFonts w:ascii="Calibri" w:hAnsi="Calibri"/>
                <w:sz w:val="18"/>
                <w:szCs w:val="18"/>
              </w:rPr>
              <w:t>Projects over $25,000 consisting of new construction work, demolition work, or repair work; onsite workers whose duties are physical or manual are paid weekly minimum prevailing rates including fringe benefits. Weekly certified payroll and compliance documentation submittal required.</w:t>
            </w:r>
          </w:p>
        </w:tc>
        <w:tc>
          <w:tcPr>
            <w:tcW w:w="3240" w:type="dxa"/>
          </w:tcPr>
          <w:p w14:paraId="13835B95" w14:textId="77777777" w:rsidR="005F297B" w:rsidRPr="00A478A3" w:rsidRDefault="005F297B" w:rsidP="00F93A80">
            <w:pPr>
              <w:pStyle w:val="ListParagraph"/>
              <w:numPr>
                <w:ilvl w:val="0"/>
                <w:numId w:val="4"/>
              </w:numPr>
              <w:spacing w:after="60" w:line="240" w:lineRule="auto"/>
              <w:contextualSpacing w:val="0"/>
              <w:rPr>
                <w:sz w:val="18"/>
                <w:szCs w:val="18"/>
              </w:rPr>
            </w:pPr>
            <w:r w:rsidRPr="00A478A3">
              <w:rPr>
                <w:sz w:val="18"/>
                <w:szCs w:val="18"/>
              </w:rPr>
              <w:t xml:space="preserve">Housing projects with 7 or fewer units. </w:t>
            </w:r>
          </w:p>
          <w:p w14:paraId="315D20DF" w14:textId="77777777" w:rsidR="005F297B" w:rsidRPr="00A478A3" w:rsidRDefault="005F297B" w:rsidP="00F93A80">
            <w:pPr>
              <w:pStyle w:val="ListParagraph"/>
              <w:numPr>
                <w:ilvl w:val="0"/>
                <w:numId w:val="4"/>
              </w:numPr>
              <w:spacing w:after="60" w:line="240" w:lineRule="auto"/>
              <w:contextualSpacing w:val="0"/>
              <w:rPr>
                <w:sz w:val="18"/>
                <w:szCs w:val="18"/>
              </w:rPr>
            </w:pPr>
            <w:r w:rsidRPr="00A478A3">
              <w:rPr>
                <w:sz w:val="18"/>
                <w:szCs w:val="18"/>
              </w:rPr>
              <w:t xml:space="preserve">Demolition without </w:t>
            </w:r>
            <w:r w:rsidRPr="00A478A3">
              <w:rPr>
                <w:sz w:val="18"/>
                <w:szCs w:val="18"/>
              </w:rPr>
              <w:br/>
              <w:t>future reuse.</w:t>
            </w:r>
          </w:p>
          <w:p w14:paraId="5CC2D843" w14:textId="77777777" w:rsidR="005F297B" w:rsidRPr="00A478A3" w:rsidRDefault="005F297B" w:rsidP="00F93A80">
            <w:pPr>
              <w:pStyle w:val="ListParagraph"/>
              <w:numPr>
                <w:ilvl w:val="0"/>
                <w:numId w:val="4"/>
              </w:numPr>
              <w:spacing w:after="60" w:line="240" w:lineRule="auto"/>
              <w:contextualSpacing w:val="0"/>
              <w:rPr>
                <w:i/>
                <w:sz w:val="18"/>
                <w:szCs w:val="18"/>
              </w:rPr>
            </w:pPr>
            <w:r w:rsidRPr="00A478A3">
              <w:rPr>
                <w:i/>
                <w:sz w:val="18"/>
                <w:szCs w:val="18"/>
              </w:rPr>
              <w:t xml:space="preserve">No exemptions for commercial projects. </w:t>
            </w:r>
          </w:p>
        </w:tc>
      </w:tr>
      <w:tr w:rsidR="005F297B" w:rsidRPr="00F158B5" w14:paraId="6C706795" w14:textId="77777777" w:rsidTr="00631CB5">
        <w:trPr>
          <w:cantSplit/>
          <w:jc w:val="center"/>
        </w:trPr>
        <w:tc>
          <w:tcPr>
            <w:tcW w:w="2160" w:type="dxa"/>
            <w:shd w:val="clear" w:color="auto" w:fill="F2F2F2"/>
          </w:tcPr>
          <w:p w14:paraId="303FB068" w14:textId="77777777" w:rsidR="005F297B" w:rsidRPr="00A478A3" w:rsidRDefault="005F297B" w:rsidP="00631CB5">
            <w:pPr>
              <w:spacing w:after="60"/>
              <w:rPr>
                <w:rFonts w:ascii="Calibri" w:hAnsi="Calibri"/>
                <w:b/>
              </w:rPr>
            </w:pPr>
            <w:r w:rsidRPr="00A478A3">
              <w:rPr>
                <w:rFonts w:ascii="Calibri" w:hAnsi="Calibri"/>
                <w:b/>
              </w:rPr>
              <w:t>Early notification system</w:t>
            </w:r>
          </w:p>
        </w:tc>
        <w:tc>
          <w:tcPr>
            <w:tcW w:w="2304" w:type="dxa"/>
            <w:shd w:val="clear" w:color="auto" w:fill="F2F2F2"/>
          </w:tcPr>
          <w:p w14:paraId="165F61CC" w14:textId="77777777" w:rsidR="005F297B" w:rsidRPr="00A478A3" w:rsidRDefault="005F297B" w:rsidP="002B2D99">
            <w:pPr>
              <w:spacing w:after="60"/>
              <w:rPr>
                <w:rFonts w:ascii="Calibri" w:hAnsi="Calibri"/>
                <w:sz w:val="18"/>
                <w:szCs w:val="18"/>
              </w:rPr>
            </w:pPr>
            <w:r w:rsidRPr="00A478A3">
              <w:rPr>
                <w:rFonts w:ascii="Calibri" w:hAnsi="Calibri"/>
                <w:sz w:val="18"/>
                <w:szCs w:val="18"/>
              </w:rPr>
              <w:t xml:space="preserve">$250,000 </w:t>
            </w:r>
            <w:r>
              <w:rPr>
                <w:rFonts w:ascii="Calibri" w:hAnsi="Calibri"/>
                <w:sz w:val="18"/>
                <w:szCs w:val="18"/>
              </w:rPr>
              <w:t>or awarded developer rights</w:t>
            </w:r>
          </w:p>
        </w:tc>
        <w:tc>
          <w:tcPr>
            <w:tcW w:w="3600" w:type="dxa"/>
            <w:shd w:val="clear" w:color="auto" w:fill="F2F2F2"/>
          </w:tcPr>
          <w:p w14:paraId="643784AE" w14:textId="77777777" w:rsidR="005F297B" w:rsidRPr="00A478A3" w:rsidRDefault="005F297B" w:rsidP="002B2D99">
            <w:pPr>
              <w:spacing w:after="60"/>
              <w:rPr>
                <w:rFonts w:ascii="Calibri" w:hAnsi="Calibri"/>
                <w:sz w:val="18"/>
                <w:szCs w:val="18"/>
              </w:rPr>
            </w:pPr>
            <w:r w:rsidRPr="00A478A3">
              <w:rPr>
                <w:rFonts w:ascii="Calibri" w:hAnsi="Calibri"/>
                <w:sz w:val="18"/>
                <w:szCs w:val="18"/>
              </w:rPr>
              <w:t>Provides notice to interested persons of applications for HRA financial assistance and developer rights.</w:t>
            </w:r>
          </w:p>
        </w:tc>
        <w:tc>
          <w:tcPr>
            <w:tcW w:w="3240" w:type="dxa"/>
            <w:shd w:val="clear" w:color="auto" w:fill="F2F2F2"/>
          </w:tcPr>
          <w:p w14:paraId="40EA028B" w14:textId="77777777" w:rsidR="005F297B" w:rsidRPr="00A478A3" w:rsidRDefault="005F297B" w:rsidP="00631CB5">
            <w:pPr>
              <w:spacing w:after="60"/>
              <w:rPr>
                <w:rFonts w:ascii="Calibri" w:hAnsi="Calibri"/>
                <w:sz w:val="18"/>
                <w:szCs w:val="18"/>
              </w:rPr>
            </w:pPr>
            <w:r w:rsidRPr="00A478A3">
              <w:rPr>
                <w:rFonts w:ascii="Calibri" w:hAnsi="Calibri"/>
                <w:sz w:val="18"/>
                <w:szCs w:val="18"/>
              </w:rPr>
              <w:t>Conduit bond</w:t>
            </w:r>
          </w:p>
        </w:tc>
      </w:tr>
      <w:tr w:rsidR="00F93A80" w:rsidRPr="00F158B5" w14:paraId="71BE853A" w14:textId="77777777" w:rsidTr="00631CB5">
        <w:trPr>
          <w:cantSplit/>
          <w:jc w:val="center"/>
        </w:trPr>
        <w:tc>
          <w:tcPr>
            <w:tcW w:w="2160" w:type="dxa"/>
          </w:tcPr>
          <w:p w14:paraId="2F42BE35" w14:textId="77777777" w:rsidR="00F93A80" w:rsidRPr="00A478A3" w:rsidRDefault="00F93A80" w:rsidP="00631CB5">
            <w:pPr>
              <w:spacing w:after="60"/>
              <w:rPr>
                <w:rFonts w:ascii="Calibri" w:hAnsi="Calibri"/>
                <w:b/>
              </w:rPr>
            </w:pPr>
            <w:r w:rsidRPr="00A478A3">
              <w:rPr>
                <w:rFonts w:ascii="Calibri" w:hAnsi="Calibri"/>
                <w:b/>
              </w:rPr>
              <w:t>Federal Labor Standards</w:t>
            </w:r>
            <w:r w:rsidRPr="00A478A3">
              <w:rPr>
                <w:rFonts w:ascii="Calibri" w:hAnsi="Calibri"/>
                <w:b/>
              </w:rPr>
              <w:br/>
              <w:t>(Davis-Bacon)</w:t>
            </w:r>
          </w:p>
        </w:tc>
        <w:tc>
          <w:tcPr>
            <w:tcW w:w="2304" w:type="dxa"/>
          </w:tcPr>
          <w:p w14:paraId="2E87D37E" w14:textId="77777777" w:rsidR="00F93A80" w:rsidRPr="00A478A3" w:rsidRDefault="00F93A80" w:rsidP="00631CB5">
            <w:pPr>
              <w:spacing w:after="60"/>
              <w:rPr>
                <w:rFonts w:ascii="Calibri" w:hAnsi="Calibri"/>
                <w:sz w:val="18"/>
                <w:szCs w:val="18"/>
              </w:rPr>
            </w:pPr>
            <w:r w:rsidRPr="00A478A3">
              <w:rPr>
                <w:rFonts w:ascii="Calibri" w:hAnsi="Calibri"/>
                <w:sz w:val="18"/>
                <w:szCs w:val="18"/>
              </w:rPr>
              <w:t>$2,000</w:t>
            </w:r>
            <w:r w:rsidRPr="00A478A3">
              <w:rPr>
                <w:rFonts w:ascii="Calibri" w:hAnsi="Calibri"/>
                <w:sz w:val="18"/>
                <w:szCs w:val="18"/>
              </w:rPr>
              <w:br/>
              <w:t>(total project cost)</w:t>
            </w:r>
          </w:p>
        </w:tc>
        <w:tc>
          <w:tcPr>
            <w:tcW w:w="3600" w:type="dxa"/>
          </w:tcPr>
          <w:p w14:paraId="2BC95341" w14:textId="77777777" w:rsidR="00F93A80" w:rsidRPr="00A478A3" w:rsidRDefault="00F93A80" w:rsidP="00631CB5">
            <w:pPr>
              <w:spacing w:after="60"/>
              <w:rPr>
                <w:rFonts w:ascii="Calibri" w:hAnsi="Calibri"/>
                <w:sz w:val="18"/>
                <w:szCs w:val="18"/>
              </w:rPr>
            </w:pPr>
            <w:r w:rsidRPr="00A478A3">
              <w:rPr>
                <w:rFonts w:ascii="Calibri" w:hAnsi="Calibri"/>
                <w:sz w:val="18"/>
                <w:szCs w:val="18"/>
              </w:rPr>
              <w:t>When funding is of federal origin (CDBG, HOME, ARRA, EEC, etc.), all job site construction workers (including owners) whose duties are physical or manual must be paid weekly minimum prevailing wage rates (including fringe benefits). Weekly certified payroll submission is required.</w:t>
            </w:r>
          </w:p>
        </w:tc>
        <w:tc>
          <w:tcPr>
            <w:tcW w:w="3240" w:type="dxa"/>
          </w:tcPr>
          <w:p w14:paraId="658BAD38" w14:textId="77777777" w:rsidR="00F93A80" w:rsidRPr="00A478A3" w:rsidRDefault="00F93A80" w:rsidP="00F93A80">
            <w:pPr>
              <w:pStyle w:val="ListParagraph"/>
              <w:numPr>
                <w:ilvl w:val="0"/>
                <w:numId w:val="1"/>
              </w:numPr>
              <w:spacing w:after="60" w:line="240" w:lineRule="auto"/>
              <w:ind w:left="331" w:hanging="288"/>
              <w:contextualSpacing w:val="0"/>
              <w:rPr>
                <w:sz w:val="18"/>
                <w:szCs w:val="18"/>
              </w:rPr>
            </w:pPr>
            <w:r w:rsidRPr="00A478A3">
              <w:rPr>
                <w:sz w:val="18"/>
                <w:szCs w:val="18"/>
              </w:rPr>
              <w:t xml:space="preserve">Housing projects with 7 or fewer units assisted with CDBG funds – </w:t>
            </w:r>
            <w:r w:rsidRPr="00A478A3">
              <w:rPr>
                <w:sz w:val="18"/>
                <w:szCs w:val="18"/>
              </w:rPr>
              <w:br/>
              <w:t xml:space="preserve">[11 or fewer units assisted with HOME funds]. </w:t>
            </w:r>
          </w:p>
          <w:p w14:paraId="3A81178F" w14:textId="77777777" w:rsidR="00F93A80" w:rsidRPr="00A478A3" w:rsidRDefault="00F93A80" w:rsidP="00F93A80">
            <w:pPr>
              <w:pStyle w:val="ListParagraph"/>
              <w:numPr>
                <w:ilvl w:val="0"/>
                <w:numId w:val="1"/>
              </w:numPr>
              <w:spacing w:after="60" w:line="240" w:lineRule="auto"/>
              <w:ind w:left="331" w:hanging="288"/>
              <w:contextualSpacing w:val="0"/>
              <w:rPr>
                <w:sz w:val="18"/>
                <w:szCs w:val="18"/>
              </w:rPr>
            </w:pPr>
            <w:r w:rsidRPr="00A478A3">
              <w:rPr>
                <w:sz w:val="18"/>
                <w:szCs w:val="18"/>
              </w:rPr>
              <w:t>Demolition without future reuse is exempt.</w:t>
            </w:r>
          </w:p>
          <w:p w14:paraId="0571971A" w14:textId="77777777" w:rsidR="00F93A80" w:rsidRPr="00A478A3" w:rsidRDefault="00F93A80" w:rsidP="00F93A80">
            <w:pPr>
              <w:pStyle w:val="ListParagraph"/>
              <w:numPr>
                <w:ilvl w:val="0"/>
                <w:numId w:val="1"/>
              </w:numPr>
              <w:spacing w:after="60" w:line="240" w:lineRule="auto"/>
              <w:ind w:left="331" w:hanging="288"/>
              <w:contextualSpacing w:val="0"/>
              <w:rPr>
                <w:i/>
                <w:sz w:val="18"/>
                <w:szCs w:val="18"/>
              </w:rPr>
            </w:pPr>
            <w:r w:rsidRPr="00A478A3">
              <w:rPr>
                <w:i/>
                <w:sz w:val="18"/>
                <w:szCs w:val="18"/>
              </w:rPr>
              <w:t xml:space="preserve">No exemptions for commercial projects. </w:t>
            </w:r>
          </w:p>
        </w:tc>
      </w:tr>
      <w:tr w:rsidR="005F297B" w:rsidRPr="00F158B5" w14:paraId="15C94628" w14:textId="77777777" w:rsidTr="00631CB5">
        <w:trPr>
          <w:cantSplit/>
          <w:jc w:val="center"/>
        </w:trPr>
        <w:tc>
          <w:tcPr>
            <w:tcW w:w="2160" w:type="dxa"/>
            <w:shd w:val="clear" w:color="auto" w:fill="F2F2F2"/>
          </w:tcPr>
          <w:p w14:paraId="3509F888" w14:textId="77777777" w:rsidR="005F297B" w:rsidRPr="00A478A3" w:rsidRDefault="005F297B" w:rsidP="00631CB5">
            <w:pPr>
              <w:spacing w:after="60"/>
              <w:rPr>
                <w:rFonts w:ascii="Calibri" w:hAnsi="Calibri"/>
                <w:b/>
              </w:rPr>
            </w:pPr>
            <w:r w:rsidRPr="00A478A3">
              <w:rPr>
                <w:rFonts w:ascii="Calibri" w:hAnsi="Calibri"/>
                <w:b/>
              </w:rPr>
              <w:t>HUD Section 3</w:t>
            </w:r>
          </w:p>
        </w:tc>
        <w:tc>
          <w:tcPr>
            <w:tcW w:w="2304" w:type="dxa"/>
            <w:shd w:val="clear" w:color="auto" w:fill="F2F2F2"/>
          </w:tcPr>
          <w:p w14:paraId="5A9059FD" w14:textId="77777777" w:rsidR="005F297B" w:rsidRPr="00A478A3" w:rsidRDefault="005F297B" w:rsidP="002B2D99">
            <w:pPr>
              <w:spacing w:after="60"/>
              <w:rPr>
                <w:rFonts w:ascii="Calibri" w:hAnsi="Calibri"/>
                <w:sz w:val="18"/>
                <w:szCs w:val="18"/>
              </w:rPr>
            </w:pPr>
            <w:r>
              <w:rPr>
                <w:rFonts w:ascii="Calibri" w:hAnsi="Calibri"/>
                <w:sz w:val="18"/>
                <w:szCs w:val="18"/>
              </w:rPr>
              <w:t>Any amount of HUD funding (CDBG, HOME, NSP, HOPWA grants, etc.). Contractors share responsibility at $100,000 construction contract.</w:t>
            </w:r>
          </w:p>
        </w:tc>
        <w:tc>
          <w:tcPr>
            <w:tcW w:w="3600" w:type="dxa"/>
            <w:shd w:val="clear" w:color="auto" w:fill="F2F2F2"/>
          </w:tcPr>
          <w:p w14:paraId="6ED91DEB" w14:textId="77777777" w:rsidR="005F297B" w:rsidRPr="00A478A3" w:rsidRDefault="005F297B" w:rsidP="002B2D99">
            <w:pPr>
              <w:spacing w:after="60"/>
              <w:rPr>
                <w:rFonts w:ascii="Calibri" w:hAnsi="Calibri"/>
                <w:sz w:val="18"/>
                <w:szCs w:val="18"/>
              </w:rPr>
            </w:pPr>
            <w:r w:rsidRPr="00A478A3">
              <w:rPr>
                <w:rFonts w:ascii="Calibri" w:hAnsi="Calibri"/>
                <w:sz w:val="18"/>
                <w:szCs w:val="18"/>
              </w:rPr>
              <w:t xml:space="preserve">When certain federal funding is used (most often CDBG, CDBG-R, HOME, NSP), Section 3 requires that grantees, developers, contractors, and subcontractors direct employment and economic opportunities, to the greatest extent feasible, toward low- and very low-income persons </w:t>
            </w:r>
            <w:r>
              <w:rPr>
                <w:rFonts w:ascii="Calibri" w:hAnsi="Calibri"/>
                <w:sz w:val="18"/>
                <w:szCs w:val="18"/>
              </w:rPr>
              <w:t>(</w:t>
            </w:r>
            <w:r w:rsidRPr="00A478A3">
              <w:rPr>
                <w:rFonts w:ascii="Calibri" w:hAnsi="Calibri"/>
                <w:sz w:val="18"/>
                <w:szCs w:val="18"/>
              </w:rPr>
              <w:t>Section 3</w:t>
            </w:r>
            <w:r>
              <w:rPr>
                <w:rFonts w:ascii="Calibri" w:hAnsi="Calibri"/>
                <w:sz w:val="18"/>
                <w:szCs w:val="18"/>
              </w:rPr>
              <w:t xml:space="preserve"> resident) and businesses that provide economic opportunity to Section 3 residents (Section 3</w:t>
            </w:r>
            <w:r w:rsidRPr="00A478A3">
              <w:rPr>
                <w:rFonts w:ascii="Calibri" w:hAnsi="Calibri"/>
                <w:sz w:val="18"/>
                <w:szCs w:val="18"/>
              </w:rPr>
              <w:t xml:space="preserve"> business concerns</w:t>
            </w:r>
            <w:r>
              <w:rPr>
                <w:rFonts w:ascii="Calibri" w:hAnsi="Calibri"/>
                <w:sz w:val="18"/>
                <w:szCs w:val="18"/>
              </w:rPr>
              <w:t>)</w:t>
            </w:r>
            <w:r w:rsidRPr="00A478A3">
              <w:rPr>
                <w:rFonts w:ascii="Calibri" w:hAnsi="Calibri"/>
                <w:sz w:val="18"/>
                <w:szCs w:val="18"/>
              </w:rPr>
              <w:t>.</w:t>
            </w:r>
          </w:p>
        </w:tc>
        <w:tc>
          <w:tcPr>
            <w:tcW w:w="3240" w:type="dxa"/>
            <w:shd w:val="clear" w:color="auto" w:fill="F2F2F2"/>
          </w:tcPr>
          <w:p w14:paraId="1A5DA680" w14:textId="77777777" w:rsidR="005F297B" w:rsidRPr="00A478A3" w:rsidRDefault="005F297B" w:rsidP="00631CB5">
            <w:pPr>
              <w:spacing w:after="60"/>
              <w:rPr>
                <w:rFonts w:ascii="Calibri" w:hAnsi="Calibri"/>
                <w:sz w:val="18"/>
                <w:szCs w:val="18"/>
              </w:rPr>
            </w:pPr>
            <w:r w:rsidRPr="00A478A3">
              <w:rPr>
                <w:rFonts w:ascii="Calibri" w:hAnsi="Calibri"/>
                <w:sz w:val="18"/>
                <w:szCs w:val="18"/>
              </w:rPr>
              <w:t>None</w:t>
            </w:r>
          </w:p>
        </w:tc>
      </w:tr>
      <w:tr w:rsidR="00F93A80" w:rsidRPr="00F158B5" w14:paraId="140253C2" w14:textId="77777777" w:rsidTr="00631CB5">
        <w:trPr>
          <w:cantSplit/>
          <w:jc w:val="center"/>
        </w:trPr>
        <w:tc>
          <w:tcPr>
            <w:tcW w:w="2160" w:type="dxa"/>
          </w:tcPr>
          <w:p w14:paraId="65953536" w14:textId="77777777" w:rsidR="00F93A80" w:rsidRPr="00A478A3" w:rsidRDefault="00F93A80" w:rsidP="00631CB5">
            <w:pPr>
              <w:spacing w:after="60"/>
              <w:rPr>
                <w:rFonts w:ascii="Calibri" w:hAnsi="Calibri"/>
                <w:b/>
              </w:rPr>
            </w:pPr>
            <w:r w:rsidRPr="00A478A3">
              <w:rPr>
                <w:rFonts w:ascii="Calibri" w:hAnsi="Calibri"/>
                <w:b/>
              </w:rPr>
              <w:t>Limited English Proficiency (LEP)</w:t>
            </w:r>
          </w:p>
        </w:tc>
        <w:tc>
          <w:tcPr>
            <w:tcW w:w="2304" w:type="dxa"/>
          </w:tcPr>
          <w:p w14:paraId="282739CD" w14:textId="77777777" w:rsidR="00F93A80" w:rsidRPr="00A478A3" w:rsidRDefault="00F93A80" w:rsidP="00631CB5">
            <w:pPr>
              <w:spacing w:after="60"/>
              <w:rPr>
                <w:rFonts w:ascii="Calibri" w:hAnsi="Calibri"/>
                <w:sz w:val="18"/>
                <w:szCs w:val="18"/>
              </w:rPr>
            </w:pPr>
            <w:r w:rsidRPr="00A478A3">
              <w:rPr>
                <w:rFonts w:ascii="Calibri" w:hAnsi="Calibri"/>
                <w:sz w:val="18"/>
                <w:szCs w:val="18"/>
              </w:rPr>
              <w:t>All federal financial assistance</w:t>
            </w:r>
          </w:p>
        </w:tc>
        <w:tc>
          <w:tcPr>
            <w:tcW w:w="3600" w:type="dxa"/>
          </w:tcPr>
          <w:p w14:paraId="03E13781" w14:textId="77777777" w:rsidR="00F93A80" w:rsidRPr="00A478A3" w:rsidRDefault="00F93A80" w:rsidP="00631CB5">
            <w:pPr>
              <w:spacing w:after="60"/>
              <w:rPr>
                <w:rFonts w:ascii="Calibri" w:hAnsi="Calibri"/>
                <w:sz w:val="18"/>
                <w:szCs w:val="18"/>
              </w:rPr>
            </w:pPr>
            <w:r w:rsidRPr="00A478A3">
              <w:rPr>
                <w:rFonts w:ascii="Calibri" w:hAnsi="Calibri"/>
                <w:sz w:val="18"/>
                <w:szCs w:val="18"/>
              </w:rPr>
              <w:t>Requirement to provide meaningful access to PED programs, services and activities to persons with limited English proficiency.</w:t>
            </w:r>
          </w:p>
        </w:tc>
        <w:tc>
          <w:tcPr>
            <w:tcW w:w="3240" w:type="dxa"/>
          </w:tcPr>
          <w:p w14:paraId="721B1505" w14:textId="77777777" w:rsidR="00F93A80" w:rsidRPr="00A478A3" w:rsidRDefault="00F93A80" w:rsidP="00631CB5">
            <w:pPr>
              <w:spacing w:after="60"/>
              <w:rPr>
                <w:rFonts w:ascii="Calibri" w:hAnsi="Calibri"/>
                <w:sz w:val="18"/>
                <w:szCs w:val="18"/>
              </w:rPr>
            </w:pPr>
            <w:r w:rsidRPr="00A478A3">
              <w:rPr>
                <w:rFonts w:ascii="Calibri" w:hAnsi="Calibri"/>
                <w:sz w:val="18"/>
                <w:szCs w:val="18"/>
              </w:rPr>
              <w:t>None</w:t>
            </w:r>
          </w:p>
        </w:tc>
      </w:tr>
      <w:tr w:rsidR="005F297B" w:rsidRPr="00F158B5" w14:paraId="1001DED7" w14:textId="77777777" w:rsidTr="00631CB5">
        <w:trPr>
          <w:cantSplit/>
          <w:jc w:val="center"/>
        </w:trPr>
        <w:tc>
          <w:tcPr>
            <w:tcW w:w="2160" w:type="dxa"/>
            <w:shd w:val="clear" w:color="auto" w:fill="F2F2F2"/>
          </w:tcPr>
          <w:p w14:paraId="38540588" w14:textId="77777777" w:rsidR="005F297B" w:rsidRPr="00A478A3" w:rsidRDefault="005F297B" w:rsidP="00631CB5">
            <w:pPr>
              <w:spacing w:after="60"/>
              <w:rPr>
                <w:rFonts w:ascii="Calibri" w:hAnsi="Calibri"/>
                <w:b/>
              </w:rPr>
            </w:pPr>
            <w:r w:rsidRPr="00A478A3">
              <w:rPr>
                <w:rFonts w:ascii="Calibri" w:hAnsi="Calibri"/>
                <w:b/>
              </w:rPr>
              <w:lastRenderedPageBreak/>
              <w:t xml:space="preserve">Living Wage </w:t>
            </w:r>
          </w:p>
          <w:p w14:paraId="0A64F3E6" w14:textId="77777777" w:rsidR="005F297B" w:rsidRPr="00A478A3" w:rsidRDefault="005F297B" w:rsidP="00631CB5">
            <w:pPr>
              <w:spacing w:after="60"/>
              <w:rPr>
                <w:rFonts w:ascii="Calibri" w:hAnsi="Calibri"/>
                <w:sz w:val="18"/>
                <w:szCs w:val="18"/>
              </w:rPr>
            </w:pPr>
            <w:r w:rsidRPr="00A478A3">
              <w:rPr>
                <w:rFonts w:ascii="Calibri" w:hAnsi="Calibri"/>
                <w:sz w:val="18"/>
                <w:szCs w:val="18"/>
              </w:rPr>
              <w:t>(City Ordinance Administrative Code Chapter 98)</w:t>
            </w:r>
          </w:p>
        </w:tc>
        <w:tc>
          <w:tcPr>
            <w:tcW w:w="2304" w:type="dxa"/>
            <w:shd w:val="clear" w:color="auto" w:fill="F2F2F2"/>
          </w:tcPr>
          <w:p w14:paraId="5DED6897" w14:textId="77777777" w:rsidR="005F297B" w:rsidRPr="00A478A3" w:rsidRDefault="005F297B" w:rsidP="002B2D99">
            <w:pPr>
              <w:spacing w:after="60"/>
              <w:rPr>
                <w:rFonts w:ascii="Calibri" w:hAnsi="Calibri"/>
                <w:sz w:val="18"/>
                <w:szCs w:val="18"/>
              </w:rPr>
            </w:pPr>
            <w:r w:rsidRPr="00A478A3">
              <w:rPr>
                <w:rFonts w:ascii="Calibri" w:hAnsi="Calibri"/>
                <w:sz w:val="18"/>
                <w:szCs w:val="18"/>
              </w:rPr>
              <w:t>$100,000</w:t>
            </w:r>
          </w:p>
        </w:tc>
        <w:tc>
          <w:tcPr>
            <w:tcW w:w="3600" w:type="dxa"/>
            <w:shd w:val="clear" w:color="auto" w:fill="F2F2F2"/>
          </w:tcPr>
          <w:p w14:paraId="77D23EDF" w14:textId="77777777" w:rsidR="005F297B" w:rsidRPr="00A478A3" w:rsidRDefault="005F297B" w:rsidP="002B2D99">
            <w:pPr>
              <w:spacing w:after="60"/>
              <w:rPr>
                <w:rFonts w:ascii="Calibri" w:hAnsi="Calibri"/>
                <w:sz w:val="18"/>
                <w:szCs w:val="18"/>
              </w:rPr>
            </w:pPr>
            <w:r w:rsidRPr="00A478A3">
              <w:rPr>
                <w:rFonts w:ascii="Calibri" w:hAnsi="Calibri"/>
                <w:sz w:val="18"/>
                <w:szCs w:val="18"/>
              </w:rPr>
              <w:t>In 201</w:t>
            </w:r>
            <w:r>
              <w:rPr>
                <w:rFonts w:ascii="Calibri" w:hAnsi="Calibri"/>
                <w:sz w:val="18"/>
                <w:szCs w:val="18"/>
              </w:rPr>
              <w:t>8</w:t>
            </w:r>
            <w:r w:rsidRPr="00A478A3">
              <w:rPr>
                <w:rFonts w:ascii="Calibri" w:hAnsi="Calibri"/>
                <w:sz w:val="18"/>
                <w:szCs w:val="18"/>
              </w:rPr>
              <w:t xml:space="preserve">, living wage at 130% of the poverty level for a family of four is </w:t>
            </w:r>
            <w:r w:rsidRPr="00FE404F">
              <w:rPr>
                <w:rFonts w:ascii="Calibri" w:hAnsi="Calibri"/>
                <w:sz w:val="18"/>
                <w:szCs w:val="18"/>
              </w:rPr>
              <w:t>$</w:t>
            </w:r>
            <w:r>
              <w:rPr>
                <w:rFonts w:ascii="Calibri" w:hAnsi="Calibri"/>
                <w:sz w:val="18"/>
                <w:szCs w:val="18"/>
              </w:rPr>
              <w:t>15.69</w:t>
            </w:r>
            <w:r w:rsidRPr="00FE404F">
              <w:rPr>
                <w:rFonts w:ascii="Calibri" w:hAnsi="Calibri"/>
                <w:sz w:val="18"/>
                <w:szCs w:val="18"/>
              </w:rPr>
              <w:t xml:space="preserve"> per hour or 110% ($1</w:t>
            </w:r>
            <w:r>
              <w:rPr>
                <w:rFonts w:ascii="Calibri" w:hAnsi="Calibri"/>
                <w:sz w:val="18"/>
                <w:szCs w:val="18"/>
              </w:rPr>
              <w:t>3</w:t>
            </w:r>
            <w:r w:rsidRPr="00FE404F">
              <w:rPr>
                <w:rFonts w:ascii="Calibri" w:hAnsi="Calibri"/>
                <w:sz w:val="18"/>
                <w:szCs w:val="18"/>
              </w:rPr>
              <w:t>.</w:t>
            </w:r>
            <w:r>
              <w:rPr>
                <w:rFonts w:ascii="Calibri" w:hAnsi="Calibri"/>
                <w:sz w:val="18"/>
                <w:szCs w:val="18"/>
              </w:rPr>
              <w:t>27</w:t>
            </w:r>
            <w:r w:rsidRPr="00FE404F">
              <w:rPr>
                <w:rFonts w:ascii="Calibri" w:hAnsi="Calibri"/>
                <w:sz w:val="18"/>
                <w:szCs w:val="18"/>
              </w:rPr>
              <w:t xml:space="preserve"> per hour) i</w:t>
            </w:r>
            <w:r>
              <w:rPr>
                <w:rFonts w:ascii="Calibri" w:hAnsi="Calibri"/>
                <w:sz w:val="18"/>
                <w:szCs w:val="18"/>
              </w:rPr>
              <w:t>f health benefits are provided.</w:t>
            </w:r>
            <w:r w:rsidRPr="00A478A3">
              <w:rPr>
                <w:rFonts w:ascii="Calibri" w:hAnsi="Calibri"/>
                <w:sz w:val="18"/>
                <w:szCs w:val="18"/>
              </w:rPr>
              <w:t xml:space="preserve"> </w:t>
            </w:r>
          </w:p>
          <w:p w14:paraId="57C2DEEE" w14:textId="77777777" w:rsidR="005F297B" w:rsidRPr="00A478A3" w:rsidRDefault="005F297B" w:rsidP="002B2D99">
            <w:pPr>
              <w:spacing w:after="60"/>
              <w:rPr>
                <w:rFonts w:ascii="Calibri" w:hAnsi="Calibri"/>
                <w:sz w:val="18"/>
                <w:szCs w:val="18"/>
              </w:rPr>
            </w:pPr>
            <w:r w:rsidRPr="00A478A3">
              <w:rPr>
                <w:rFonts w:ascii="Calibri" w:hAnsi="Calibri"/>
                <w:sz w:val="18"/>
                <w:szCs w:val="18"/>
              </w:rPr>
              <w:t xml:space="preserve">Wage rates change annually. </w:t>
            </w:r>
          </w:p>
          <w:p w14:paraId="69EF3C48" w14:textId="77777777" w:rsidR="005F297B" w:rsidRPr="00A478A3" w:rsidRDefault="005F297B" w:rsidP="002B2D99">
            <w:pPr>
              <w:spacing w:after="60"/>
              <w:rPr>
                <w:rFonts w:ascii="Calibri" w:hAnsi="Calibri"/>
                <w:sz w:val="18"/>
                <w:szCs w:val="18"/>
              </w:rPr>
            </w:pPr>
            <w:r w:rsidRPr="00A478A3">
              <w:rPr>
                <w:rFonts w:ascii="Calibri" w:hAnsi="Calibri"/>
                <w:sz w:val="18"/>
                <w:szCs w:val="18"/>
              </w:rPr>
              <w:t>Duration is longer of three years or length of subsidy.</w:t>
            </w:r>
          </w:p>
        </w:tc>
        <w:tc>
          <w:tcPr>
            <w:tcW w:w="3240" w:type="dxa"/>
            <w:shd w:val="clear" w:color="auto" w:fill="F2F2F2"/>
          </w:tcPr>
          <w:p w14:paraId="19E87E9C" w14:textId="77777777" w:rsidR="005F297B" w:rsidRPr="00A478A3" w:rsidRDefault="005F297B" w:rsidP="00631CB5">
            <w:pPr>
              <w:spacing w:after="60"/>
              <w:rPr>
                <w:rFonts w:ascii="Calibri" w:hAnsi="Calibri"/>
                <w:sz w:val="18"/>
                <w:szCs w:val="18"/>
              </w:rPr>
            </w:pPr>
            <w:r w:rsidRPr="00A478A3">
              <w:rPr>
                <w:rFonts w:ascii="Calibri" w:hAnsi="Calibri"/>
                <w:sz w:val="18"/>
                <w:szCs w:val="18"/>
              </w:rPr>
              <w:t xml:space="preserve">Small businesses with </w:t>
            </w:r>
          </w:p>
          <w:p w14:paraId="074DE218" w14:textId="77777777" w:rsidR="005F297B" w:rsidRPr="00A478A3" w:rsidRDefault="005F297B" w:rsidP="00F93A80">
            <w:pPr>
              <w:pStyle w:val="ListParagraph"/>
              <w:numPr>
                <w:ilvl w:val="0"/>
                <w:numId w:val="2"/>
              </w:numPr>
              <w:spacing w:after="60" w:line="240" w:lineRule="auto"/>
              <w:ind w:left="331" w:hanging="288"/>
              <w:rPr>
                <w:sz w:val="18"/>
                <w:szCs w:val="18"/>
              </w:rPr>
            </w:pPr>
            <w:r w:rsidRPr="00A478A3">
              <w:rPr>
                <w:sz w:val="18"/>
                <w:szCs w:val="18"/>
              </w:rPr>
              <w:t xml:space="preserve">20 or fewer full time employees, </w:t>
            </w:r>
          </w:p>
          <w:p w14:paraId="51E767C4" w14:textId="77777777" w:rsidR="005F297B" w:rsidRPr="00A478A3" w:rsidRDefault="005F297B" w:rsidP="00F93A80">
            <w:pPr>
              <w:pStyle w:val="ListParagraph"/>
              <w:numPr>
                <w:ilvl w:val="0"/>
                <w:numId w:val="2"/>
              </w:numPr>
              <w:spacing w:after="60" w:line="240" w:lineRule="auto"/>
              <w:ind w:left="331" w:hanging="288"/>
              <w:rPr>
                <w:sz w:val="18"/>
                <w:szCs w:val="18"/>
              </w:rPr>
            </w:pPr>
            <w:r w:rsidRPr="00A478A3">
              <w:rPr>
                <w:sz w:val="18"/>
                <w:szCs w:val="18"/>
              </w:rPr>
              <w:t xml:space="preserve">gross revenues of less than $1,000,000 or if </w:t>
            </w:r>
          </w:p>
          <w:p w14:paraId="3584BB1F" w14:textId="77777777" w:rsidR="005F297B" w:rsidRPr="00A478A3" w:rsidRDefault="005F297B" w:rsidP="00F93A80">
            <w:pPr>
              <w:pStyle w:val="ListParagraph"/>
              <w:numPr>
                <w:ilvl w:val="0"/>
                <w:numId w:val="2"/>
              </w:numPr>
              <w:spacing w:after="60" w:line="240" w:lineRule="auto"/>
              <w:ind w:left="331" w:hanging="288"/>
              <w:rPr>
                <w:sz w:val="18"/>
                <w:szCs w:val="18"/>
              </w:rPr>
            </w:pPr>
            <w:r w:rsidRPr="00A478A3">
              <w:rPr>
                <w:sz w:val="18"/>
                <w:szCs w:val="18"/>
              </w:rPr>
              <w:t xml:space="preserve">professional/technical business then gross revenues less than $2,500,000 </w:t>
            </w:r>
          </w:p>
          <w:p w14:paraId="400B63D6" w14:textId="77777777" w:rsidR="005F297B" w:rsidRPr="00A478A3" w:rsidRDefault="005F297B" w:rsidP="00F93A80">
            <w:pPr>
              <w:pStyle w:val="ListParagraph"/>
              <w:numPr>
                <w:ilvl w:val="0"/>
                <w:numId w:val="2"/>
              </w:numPr>
              <w:spacing w:after="60" w:line="240" w:lineRule="auto"/>
              <w:ind w:left="331" w:hanging="288"/>
              <w:rPr>
                <w:i/>
                <w:sz w:val="18"/>
                <w:szCs w:val="18"/>
              </w:rPr>
            </w:pPr>
            <w:r w:rsidRPr="00A478A3">
              <w:rPr>
                <w:i/>
                <w:sz w:val="18"/>
                <w:szCs w:val="18"/>
              </w:rPr>
              <w:t>No exemptions for housing</w:t>
            </w:r>
          </w:p>
        </w:tc>
      </w:tr>
      <w:tr w:rsidR="00F93A80" w:rsidRPr="00F158B5" w14:paraId="2D76B113" w14:textId="77777777" w:rsidTr="00631CB5">
        <w:trPr>
          <w:cantSplit/>
          <w:jc w:val="center"/>
        </w:trPr>
        <w:tc>
          <w:tcPr>
            <w:tcW w:w="2160" w:type="dxa"/>
          </w:tcPr>
          <w:p w14:paraId="32CE8645" w14:textId="77777777" w:rsidR="00F93A80" w:rsidRPr="00A478A3" w:rsidRDefault="00F93A80" w:rsidP="00631CB5">
            <w:pPr>
              <w:spacing w:after="60"/>
              <w:rPr>
                <w:rFonts w:ascii="Calibri" w:hAnsi="Calibri"/>
                <w:b/>
              </w:rPr>
            </w:pPr>
            <w:r w:rsidRPr="00A478A3">
              <w:rPr>
                <w:rFonts w:ascii="Calibri" w:hAnsi="Calibri"/>
                <w:b/>
              </w:rPr>
              <w:t>Low Income Housing Tax Credits</w:t>
            </w:r>
          </w:p>
          <w:p w14:paraId="3801C654" w14:textId="77777777" w:rsidR="00F93A80" w:rsidRPr="00A478A3" w:rsidRDefault="00F93A80" w:rsidP="00631CB5">
            <w:pPr>
              <w:spacing w:after="60"/>
              <w:rPr>
                <w:rFonts w:ascii="Calibri" w:hAnsi="Calibri"/>
                <w:b/>
              </w:rPr>
            </w:pPr>
            <w:r w:rsidRPr="00A478A3">
              <w:rPr>
                <w:rFonts w:ascii="Calibri" w:hAnsi="Calibri"/>
                <w:sz w:val="18"/>
                <w:szCs w:val="18"/>
              </w:rPr>
              <w:t xml:space="preserve"> – 9% (see Bonds for thresholds and requirements for 4% tax credits)</w:t>
            </w:r>
          </w:p>
        </w:tc>
        <w:tc>
          <w:tcPr>
            <w:tcW w:w="2304" w:type="dxa"/>
          </w:tcPr>
          <w:p w14:paraId="3722665F" w14:textId="77777777" w:rsidR="00F93A80" w:rsidRPr="00A478A3" w:rsidRDefault="00F93A80" w:rsidP="00631CB5">
            <w:pPr>
              <w:spacing w:after="60"/>
              <w:rPr>
                <w:rFonts w:ascii="Calibri" w:hAnsi="Calibri"/>
                <w:sz w:val="18"/>
                <w:szCs w:val="18"/>
              </w:rPr>
            </w:pPr>
            <w:r w:rsidRPr="00A478A3">
              <w:rPr>
                <w:rFonts w:ascii="Calibri" w:hAnsi="Calibri"/>
                <w:sz w:val="18"/>
                <w:szCs w:val="18"/>
              </w:rPr>
              <w:t>All</w:t>
            </w:r>
          </w:p>
        </w:tc>
        <w:tc>
          <w:tcPr>
            <w:tcW w:w="3600" w:type="dxa"/>
          </w:tcPr>
          <w:p w14:paraId="3DBE2CE5" w14:textId="77777777" w:rsidR="00F93A80" w:rsidRPr="00A478A3" w:rsidRDefault="00F93A80" w:rsidP="00631CB5">
            <w:pPr>
              <w:spacing w:after="60"/>
              <w:rPr>
                <w:rFonts w:ascii="Calibri" w:hAnsi="Calibri"/>
                <w:sz w:val="18"/>
                <w:szCs w:val="18"/>
              </w:rPr>
            </w:pPr>
            <w:r w:rsidRPr="00A478A3">
              <w:rPr>
                <w:rFonts w:ascii="Calibri" w:hAnsi="Calibri"/>
                <w:sz w:val="18"/>
                <w:szCs w:val="18"/>
              </w:rPr>
              <w:t>None</w:t>
            </w:r>
          </w:p>
        </w:tc>
        <w:tc>
          <w:tcPr>
            <w:tcW w:w="3240" w:type="dxa"/>
          </w:tcPr>
          <w:p w14:paraId="43CD13A0" w14:textId="77777777" w:rsidR="00F93A80" w:rsidRPr="00A478A3" w:rsidRDefault="00F93A80" w:rsidP="00631CB5">
            <w:pPr>
              <w:spacing w:after="60"/>
              <w:rPr>
                <w:rFonts w:ascii="Calibri" w:hAnsi="Calibri"/>
                <w:sz w:val="18"/>
                <w:szCs w:val="18"/>
              </w:rPr>
            </w:pPr>
          </w:p>
        </w:tc>
      </w:tr>
      <w:tr w:rsidR="00F93A80" w:rsidRPr="00F158B5" w14:paraId="1BBBF01A" w14:textId="77777777" w:rsidTr="00631CB5">
        <w:trPr>
          <w:cantSplit/>
          <w:jc w:val="center"/>
        </w:trPr>
        <w:tc>
          <w:tcPr>
            <w:tcW w:w="2160" w:type="dxa"/>
            <w:shd w:val="clear" w:color="auto" w:fill="F2F2F2"/>
          </w:tcPr>
          <w:p w14:paraId="3D73F879" w14:textId="77777777" w:rsidR="00F93A80" w:rsidRPr="00A478A3" w:rsidRDefault="00F93A80" w:rsidP="00631CB5">
            <w:pPr>
              <w:spacing w:after="60"/>
              <w:rPr>
                <w:rFonts w:ascii="Calibri" w:hAnsi="Calibri"/>
                <w:b/>
              </w:rPr>
            </w:pPr>
            <w:r w:rsidRPr="00A478A3">
              <w:rPr>
                <w:rFonts w:ascii="Calibri" w:hAnsi="Calibri"/>
                <w:b/>
              </w:rPr>
              <w:t>Project Labor Agreements (PLA)</w:t>
            </w:r>
          </w:p>
        </w:tc>
        <w:tc>
          <w:tcPr>
            <w:tcW w:w="2304" w:type="dxa"/>
            <w:shd w:val="clear" w:color="auto" w:fill="F2F2F2"/>
          </w:tcPr>
          <w:p w14:paraId="25101A3E" w14:textId="77777777" w:rsidR="00F93A80" w:rsidRPr="00A478A3" w:rsidRDefault="00F93A80" w:rsidP="00631CB5">
            <w:pPr>
              <w:spacing w:after="60"/>
              <w:rPr>
                <w:rFonts w:ascii="Calibri" w:hAnsi="Calibri"/>
                <w:sz w:val="18"/>
                <w:szCs w:val="18"/>
              </w:rPr>
            </w:pPr>
            <w:r w:rsidRPr="00A478A3">
              <w:rPr>
                <w:rFonts w:ascii="Calibri" w:hAnsi="Calibri"/>
                <w:sz w:val="18"/>
                <w:szCs w:val="18"/>
              </w:rPr>
              <w:t xml:space="preserve">$250,000 </w:t>
            </w:r>
            <w:r w:rsidRPr="00A478A3">
              <w:rPr>
                <w:rFonts w:ascii="Calibri" w:hAnsi="Calibri"/>
                <w:sz w:val="18"/>
                <w:szCs w:val="18"/>
              </w:rPr>
              <w:br/>
              <w:t>(Effective June 4, 2009.)</w:t>
            </w:r>
          </w:p>
        </w:tc>
        <w:tc>
          <w:tcPr>
            <w:tcW w:w="3600" w:type="dxa"/>
            <w:shd w:val="clear" w:color="auto" w:fill="F2F2F2"/>
          </w:tcPr>
          <w:p w14:paraId="75CB7FA8" w14:textId="77777777" w:rsidR="00F93A80" w:rsidRPr="00A478A3" w:rsidRDefault="00F93A80" w:rsidP="00631CB5">
            <w:pPr>
              <w:spacing w:after="60"/>
              <w:rPr>
                <w:rFonts w:ascii="Calibri" w:hAnsi="Calibri"/>
                <w:sz w:val="18"/>
                <w:szCs w:val="18"/>
              </w:rPr>
            </w:pPr>
            <w:r w:rsidRPr="00A478A3">
              <w:rPr>
                <w:rFonts w:ascii="Calibri" w:hAnsi="Calibri"/>
                <w:sz w:val="18"/>
                <w:szCs w:val="18"/>
              </w:rPr>
              <w:t>Building and construction projects, parks, public works</w:t>
            </w:r>
          </w:p>
        </w:tc>
        <w:tc>
          <w:tcPr>
            <w:tcW w:w="3240" w:type="dxa"/>
            <w:shd w:val="clear" w:color="auto" w:fill="F2F2F2"/>
          </w:tcPr>
          <w:p w14:paraId="1AED46A5" w14:textId="77777777" w:rsidR="00F93A80" w:rsidRPr="00A478A3" w:rsidRDefault="00F93A80" w:rsidP="00631CB5">
            <w:pPr>
              <w:spacing w:after="60"/>
              <w:rPr>
                <w:rFonts w:ascii="Calibri" w:hAnsi="Calibri"/>
                <w:sz w:val="18"/>
                <w:szCs w:val="18"/>
              </w:rPr>
            </w:pPr>
            <w:r w:rsidRPr="00A478A3">
              <w:rPr>
                <w:rFonts w:ascii="Calibri" w:hAnsi="Calibri"/>
                <w:sz w:val="18"/>
                <w:szCs w:val="18"/>
              </w:rPr>
              <w:t>Conduit bond</w:t>
            </w:r>
          </w:p>
        </w:tc>
      </w:tr>
      <w:tr w:rsidR="005F297B" w:rsidRPr="00A478A3" w14:paraId="78689052" w14:textId="77777777" w:rsidTr="002B2D99">
        <w:trPr>
          <w:cantSplit/>
          <w:jc w:val="center"/>
        </w:trPr>
        <w:tc>
          <w:tcPr>
            <w:tcW w:w="2160" w:type="dxa"/>
            <w:tcBorders>
              <w:bottom w:val="single" w:sz="4" w:space="0" w:color="auto"/>
            </w:tcBorders>
          </w:tcPr>
          <w:p w14:paraId="13F6C5DA" w14:textId="77777777" w:rsidR="005F297B" w:rsidRPr="00A478A3" w:rsidRDefault="005F297B" w:rsidP="002B2D99">
            <w:pPr>
              <w:spacing w:after="60"/>
              <w:rPr>
                <w:rFonts w:ascii="Calibri" w:hAnsi="Calibri"/>
                <w:b/>
              </w:rPr>
            </w:pPr>
            <w:r w:rsidRPr="00A478A3">
              <w:rPr>
                <w:rFonts w:ascii="Calibri" w:hAnsi="Calibri"/>
                <w:b/>
              </w:rPr>
              <w:t xml:space="preserve">Sustainable </w:t>
            </w:r>
            <w:r>
              <w:rPr>
                <w:rFonts w:ascii="Calibri" w:hAnsi="Calibri"/>
                <w:b/>
              </w:rPr>
              <w:t>Building</w:t>
            </w:r>
            <w:r w:rsidRPr="00A478A3">
              <w:rPr>
                <w:rFonts w:ascii="Calibri" w:hAnsi="Calibri"/>
                <w:b/>
              </w:rPr>
              <w:t xml:space="preserve"> Policy</w:t>
            </w:r>
          </w:p>
        </w:tc>
        <w:tc>
          <w:tcPr>
            <w:tcW w:w="2304" w:type="dxa"/>
            <w:tcBorders>
              <w:bottom w:val="single" w:sz="4" w:space="0" w:color="auto"/>
            </w:tcBorders>
          </w:tcPr>
          <w:p w14:paraId="7D10FCB5" w14:textId="77777777" w:rsidR="005F297B" w:rsidRDefault="005F297B" w:rsidP="002B2D99">
            <w:pPr>
              <w:spacing w:after="60"/>
              <w:rPr>
                <w:rFonts w:ascii="Calibri" w:hAnsi="Calibri"/>
                <w:sz w:val="18"/>
                <w:szCs w:val="18"/>
              </w:rPr>
            </w:pPr>
            <w:r>
              <w:rPr>
                <w:rFonts w:ascii="Calibri" w:hAnsi="Calibri"/>
                <w:sz w:val="18"/>
                <w:szCs w:val="18"/>
              </w:rPr>
              <w:t>More than $200,000.</w:t>
            </w:r>
          </w:p>
          <w:p w14:paraId="0FBB94A8" w14:textId="77777777" w:rsidR="005F297B" w:rsidRPr="00A478A3" w:rsidRDefault="005F297B" w:rsidP="002B2D99">
            <w:pPr>
              <w:spacing w:after="60"/>
              <w:rPr>
                <w:rFonts w:ascii="Calibri" w:hAnsi="Calibri"/>
                <w:sz w:val="18"/>
                <w:szCs w:val="18"/>
              </w:rPr>
            </w:pPr>
            <w:r w:rsidRPr="00A478A3">
              <w:rPr>
                <w:rFonts w:ascii="Calibri" w:hAnsi="Calibri"/>
                <w:sz w:val="18"/>
                <w:szCs w:val="18"/>
              </w:rPr>
              <w:t>All new construction</w:t>
            </w:r>
            <w:r>
              <w:rPr>
                <w:rFonts w:ascii="Calibri" w:hAnsi="Calibri"/>
                <w:sz w:val="18"/>
                <w:szCs w:val="18"/>
              </w:rPr>
              <w:t xml:space="preserve"> and certain rehab projects</w:t>
            </w:r>
          </w:p>
        </w:tc>
        <w:tc>
          <w:tcPr>
            <w:tcW w:w="3600" w:type="dxa"/>
            <w:tcBorders>
              <w:bottom w:val="single" w:sz="4" w:space="0" w:color="auto"/>
            </w:tcBorders>
          </w:tcPr>
          <w:p w14:paraId="2A42AFE6" w14:textId="77777777" w:rsidR="005F297B" w:rsidRPr="00A478A3" w:rsidRDefault="005F297B" w:rsidP="002B2D99">
            <w:pPr>
              <w:spacing w:after="60"/>
              <w:rPr>
                <w:rFonts w:ascii="Calibri" w:hAnsi="Calibri"/>
                <w:sz w:val="18"/>
                <w:szCs w:val="18"/>
              </w:rPr>
            </w:pPr>
            <w:r>
              <w:rPr>
                <w:rFonts w:ascii="Calibri" w:hAnsi="Calibri"/>
                <w:sz w:val="18"/>
                <w:szCs w:val="18"/>
              </w:rPr>
              <w:t xml:space="preserve">Must be certified under one of the eligible green building standards, and comply with the Saint Paul Overlay. </w:t>
            </w:r>
            <w:r w:rsidRPr="00BA61EE">
              <w:rPr>
                <w:rFonts w:ascii="Calibri" w:hAnsi="Calibri"/>
                <w:b/>
                <w:sz w:val="18"/>
                <w:szCs w:val="18"/>
              </w:rPr>
              <w:t>See Policy</w:t>
            </w:r>
            <w:r>
              <w:rPr>
                <w:rFonts w:ascii="Calibri" w:hAnsi="Calibri"/>
                <w:sz w:val="18"/>
                <w:szCs w:val="18"/>
              </w:rPr>
              <w:t>.</w:t>
            </w:r>
          </w:p>
        </w:tc>
        <w:tc>
          <w:tcPr>
            <w:tcW w:w="3240" w:type="dxa"/>
            <w:tcBorders>
              <w:bottom w:val="single" w:sz="4" w:space="0" w:color="auto"/>
            </w:tcBorders>
          </w:tcPr>
          <w:p w14:paraId="5B62CD3D" w14:textId="77777777" w:rsidR="005F297B" w:rsidRPr="00A478A3" w:rsidRDefault="005F297B" w:rsidP="002B2D99">
            <w:pPr>
              <w:spacing w:after="60"/>
              <w:rPr>
                <w:rFonts w:ascii="Calibri" w:hAnsi="Calibri"/>
                <w:sz w:val="18"/>
                <w:szCs w:val="18"/>
              </w:rPr>
            </w:pPr>
            <w:r w:rsidRPr="00A478A3">
              <w:rPr>
                <w:rFonts w:ascii="Calibri" w:hAnsi="Calibri"/>
                <w:sz w:val="18"/>
                <w:szCs w:val="18"/>
              </w:rPr>
              <w:t>Conduit bond except for multi-family housing revenue bonds.</w:t>
            </w:r>
          </w:p>
        </w:tc>
      </w:tr>
      <w:tr w:rsidR="005F297B" w:rsidRPr="00A478A3" w14:paraId="231C5B74" w14:textId="77777777" w:rsidTr="002B2D99">
        <w:trPr>
          <w:cantSplit/>
          <w:jc w:val="center"/>
        </w:trPr>
        <w:tc>
          <w:tcPr>
            <w:tcW w:w="2160" w:type="dxa"/>
            <w:vMerge w:val="restart"/>
            <w:shd w:val="clear" w:color="auto" w:fill="F2F2F2" w:themeFill="background1" w:themeFillShade="F2"/>
          </w:tcPr>
          <w:p w14:paraId="5E75A0F5" w14:textId="77777777" w:rsidR="005F297B" w:rsidRPr="00A478A3" w:rsidRDefault="005F297B" w:rsidP="002B2D99">
            <w:pPr>
              <w:spacing w:after="60"/>
              <w:rPr>
                <w:rFonts w:ascii="Calibri" w:hAnsi="Calibri"/>
                <w:b/>
              </w:rPr>
            </w:pPr>
            <w:r>
              <w:rPr>
                <w:rFonts w:ascii="Calibri" w:hAnsi="Calibri"/>
                <w:b/>
              </w:rPr>
              <w:t>PED/HRA Sustainability Initiative</w:t>
            </w:r>
          </w:p>
        </w:tc>
        <w:tc>
          <w:tcPr>
            <w:tcW w:w="2304" w:type="dxa"/>
            <w:shd w:val="clear" w:color="auto" w:fill="F2F2F2" w:themeFill="background1" w:themeFillShade="F2"/>
          </w:tcPr>
          <w:p w14:paraId="61ACCAEB" w14:textId="77777777" w:rsidR="005F297B" w:rsidRDefault="005F297B" w:rsidP="002B2D99">
            <w:pPr>
              <w:spacing w:after="60"/>
              <w:rPr>
                <w:rFonts w:ascii="Calibri" w:hAnsi="Calibri"/>
                <w:sz w:val="18"/>
                <w:szCs w:val="18"/>
              </w:rPr>
            </w:pPr>
            <w:r>
              <w:rPr>
                <w:rFonts w:ascii="Calibri" w:hAnsi="Calibri"/>
                <w:sz w:val="18"/>
                <w:szCs w:val="18"/>
              </w:rPr>
              <w:t>All newly constructed commercial buildings over 15,000 square feet</w:t>
            </w:r>
          </w:p>
          <w:p w14:paraId="3CF17323" w14:textId="77777777" w:rsidR="005F297B" w:rsidRDefault="005F297B" w:rsidP="002B2D99">
            <w:pPr>
              <w:spacing w:after="60"/>
              <w:rPr>
                <w:rFonts w:ascii="Calibri" w:hAnsi="Calibri"/>
                <w:sz w:val="18"/>
                <w:szCs w:val="18"/>
              </w:rPr>
            </w:pPr>
            <w:r>
              <w:rPr>
                <w:rFonts w:ascii="Calibri" w:hAnsi="Calibri"/>
                <w:sz w:val="18"/>
                <w:szCs w:val="18"/>
              </w:rPr>
              <w:t>AND</w:t>
            </w:r>
          </w:p>
        </w:tc>
        <w:tc>
          <w:tcPr>
            <w:tcW w:w="3600" w:type="dxa"/>
            <w:shd w:val="clear" w:color="auto" w:fill="F2F2F2" w:themeFill="background1" w:themeFillShade="F2"/>
          </w:tcPr>
          <w:p w14:paraId="15DAD06C" w14:textId="77777777" w:rsidR="005F297B" w:rsidRDefault="005F297B" w:rsidP="002B2D99">
            <w:pPr>
              <w:spacing w:after="60"/>
              <w:rPr>
                <w:rFonts w:ascii="Calibri" w:hAnsi="Calibri"/>
                <w:sz w:val="18"/>
                <w:szCs w:val="18"/>
              </w:rPr>
            </w:pPr>
            <w:r>
              <w:rPr>
                <w:rFonts w:ascii="Calibri" w:hAnsi="Calibri"/>
                <w:sz w:val="18"/>
                <w:szCs w:val="18"/>
              </w:rPr>
              <w:t xml:space="preserve">Participate in Xcel Energy Design Assistance </w:t>
            </w:r>
          </w:p>
        </w:tc>
        <w:tc>
          <w:tcPr>
            <w:tcW w:w="3240" w:type="dxa"/>
            <w:vMerge w:val="restart"/>
            <w:shd w:val="clear" w:color="auto" w:fill="F2F2F2" w:themeFill="background1" w:themeFillShade="F2"/>
          </w:tcPr>
          <w:p w14:paraId="067A7663" w14:textId="77777777" w:rsidR="005F297B" w:rsidRPr="00A478A3" w:rsidRDefault="005F297B" w:rsidP="002B2D99">
            <w:pPr>
              <w:spacing w:after="60"/>
              <w:rPr>
                <w:rFonts w:ascii="Calibri" w:hAnsi="Calibri"/>
                <w:sz w:val="18"/>
                <w:szCs w:val="18"/>
              </w:rPr>
            </w:pPr>
            <w:r>
              <w:rPr>
                <w:rFonts w:ascii="Calibri" w:hAnsi="Calibri"/>
                <w:sz w:val="18"/>
                <w:szCs w:val="18"/>
              </w:rPr>
              <w:t>Does not apply if complying with the Sustainable Building Policy</w:t>
            </w:r>
          </w:p>
        </w:tc>
      </w:tr>
      <w:tr w:rsidR="005F297B" w:rsidRPr="00A478A3" w14:paraId="0A61D992" w14:textId="77777777" w:rsidTr="002B2D99">
        <w:trPr>
          <w:cantSplit/>
          <w:jc w:val="center"/>
        </w:trPr>
        <w:tc>
          <w:tcPr>
            <w:tcW w:w="2160" w:type="dxa"/>
            <w:vMerge/>
            <w:shd w:val="clear" w:color="auto" w:fill="F2F2F2" w:themeFill="background1" w:themeFillShade="F2"/>
          </w:tcPr>
          <w:p w14:paraId="11ED406B" w14:textId="77777777" w:rsidR="005F297B" w:rsidRPr="00A478A3" w:rsidRDefault="005F297B" w:rsidP="002B2D99">
            <w:pPr>
              <w:spacing w:after="60"/>
              <w:rPr>
                <w:rFonts w:ascii="Calibri" w:hAnsi="Calibri"/>
                <w:b/>
              </w:rPr>
            </w:pPr>
          </w:p>
        </w:tc>
        <w:tc>
          <w:tcPr>
            <w:tcW w:w="2304" w:type="dxa"/>
            <w:shd w:val="clear" w:color="auto" w:fill="F2F2F2" w:themeFill="background1" w:themeFillShade="F2"/>
          </w:tcPr>
          <w:p w14:paraId="55CD0317" w14:textId="77777777" w:rsidR="005F297B" w:rsidRDefault="005F297B" w:rsidP="002B2D99">
            <w:pPr>
              <w:spacing w:after="60"/>
              <w:rPr>
                <w:rFonts w:ascii="Calibri" w:hAnsi="Calibri"/>
                <w:sz w:val="18"/>
                <w:szCs w:val="18"/>
              </w:rPr>
            </w:pPr>
            <w:r>
              <w:rPr>
                <w:rFonts w:ascii="Calibri" w:hAnsi="Calibri"/>
                <w:sz w:val="18"/>
                <w:szCs w:val="18"/>
              </w:rPr>
              <w:t>All new multifamily buildings</w:t>
            </w:r>
          </w:p>
          <w:p w14:paraId="34FC685E" w14:textId="77777777" w:rsidR="005F297B" w:rsidRDefault="005F297B" w:rsidP="002B2D99">
            <w:pPr>
              <w:spacing w:after="60"/>
              <w:rPr>
                <w:rFonts w:ascii="Calibri" w:hAnsi="Calibri"/>
                <w:sz w:val="18"/>
                <w:szCs w:val="18"/>
              </w:rPr>
            </w:pPr>
            <w:r>
              <w:rPr>
                <w:rFonts w:ascii="Calibri" w:hAnsi="Calibri"/>
                <w:sz w:val="18"/>
                <w:szCs w:val="18"/>
              </w:rPr>
              <w:t>AND</w:t>
            </w:r>
          </w:p>
        </w:tc>
        <w:tc>
          <w:tcPr>
            <w:tcW w:w="3600" w:type="dxa"/>
            <w:shd w:val="clear" w:color="auto" w:fill="F2F2F2" w:themeFill="background1" w:themeFillShade="F2"/>
          </w:tcPr>
          <w:p w14:paraId="523C9DE9" w14:textId="77777777" w:rsidR="005F297B" w:rsidRDefault="005F297B" w:rsidP="002B2D99">
            <w:pPr>
              <w:spacing w:after="60"/>
              <w:rPr>
                <w:rFonts w:ascii="Calibri" w:hAnsi="Calibri"/>
                <w:sz w:val="18"/>
                <w:szCs w:val="18"/>
              </w:rPr>
            </w:pPr>
            <w:r>
              <w:rPr>
                <w:rFonts w:ascii="Calibri" w:hAnsi="Calibri"/>
                <w:sz w:val="18"/>
                <w:szCs w:val="18"/>
              </w:rPr>
              <w:t>Participate in Xcel Energy Design Assistance or ENERGY STAR New Homes</w:t>
            </w:r>
          </w:p>
        </w:tc>
        <w:tc>
          <w:tcPr>
            <w:tcW w:w="3240" w:type="dxa"/>
            <w:vMerge/>
            <w:shd w:val="clear" w:color="auto" w:fill="F2F2F2" w:themeFill="background1" w:themeFillShade="F2"/>
          </w:tcPr>
          <w:p w14:paraId="7A82E396" w14:textId="77777777" w:rsidR="005F297B" w:rsidRPr="00A478A3" w:rsidRDefault="005F297B" w:rsidP="002B2D99">
            <w:pPr>
              <w:spacing w:after="60"/>
              <w:rPr>
                <w:rFonts w:ascii="Calibri" w:hAnsi="Calibri"/>
                <w:sz w:val="18"/>
                <w:szCs w:val="18"/>
              </w:rPr>
            </w:pPr>
          </w:p>
        </w:tc>
      </w:tr>
      <w:tr w:rsidR="005F297B" w:rsidRPr="00A478A3" w14:paraId="56841E4A" w14:textId="77777777" w:rsidTr="005F297B">
        <w:trPr>
          <w:cantSplit/>
          <w:jc w:val="center"/>
        </w:trPr>
        <w:tc>
          <w:tcPr>
            <w:tcW w:w="2160" w:type="dxa"/>
            <w:vMerge/>
            <w:tcBorders>
              <w:bottom w:val="single" w:sz="4" w:space="0" w:color="auto"/>
            </w:tcBorders>
            <w:shd w:val="clear" w:color="auto" w:fill="F2F2F2" w:themeFill="background1" w:themeFillShade="F2"/>
          </w:tcPr>
          <w:p w14:paraId="66E4750D" w14:textId="77777777" w:rsidR="005F297B" w:rsidRPr="00A478A3" w:rsidRDefault="005F297B" w:rsidP="002B2D99">
            <w:pPr>
              <w:spacing w:after="60"/>
              <w:rPr>
                <w:rFonts w:ascii="Calibri" w:hAnsi="Calibri"/>
                <w:b/>
              </w:rPr>
            </w:pPr>
          </w:p>
        </w:tc>
        <w:tc>
          <w:tcPr>
            <w:tcW w:w="2304" w:type="dxa"/>
            <w:tcBorders>
              <w:bottom w:val="single" w:sz="4" w:space="0" w:color="auto"/>
            </w:tcBorders>
            <w:shd w:val="clear" w:color="auto" w:fill="F2F2F2" w:themeFill="background1" w:themeFillShade="F2"/>
          </w:tcPr>
          <w:p w14:paraId="656B6AB5" w14:textId="77777777" w:rsidR="005F297B" w:rsidRDefault="005F297B" w:rsidP="002B2D99">
            <w:pPr>
              <w:spacing w:after="60"/>
              <w:rPr>
                <w:rFonts w:ascii="Calibri" w:hAnsi="Calibri"/>
                <w:sz w:val="18"/>
                <w:szCs w:val="18"/>
              </w:rPr>
            </w:pPr>
            <w:r>
              <w:rPr>
                <w:rFonts w:ascii="Calibri" w:hAnsi="Calibri"/>
                <w:sz w:val="18"/>
                <w:szCs w:val="18"/>
              </w:rPr>
              <w:t>All rehab of single-family and duplex properties</w:t>
            </w:r>
          </w:p>
        </w:tc>
        <w:tc>
          <w:tcPr>
            <w:tcW w:w="3600" w:type="dxa"/>
            <w:tcBorders>
              <w:bottom w:val="single" w:sz="4" w:space="0" w:color="auto"/>
            </w:tcBorders>
            <w:shd w:val="clear" w:color="auto" w:fill="F2F2F2" w:themeFill="background1" w:themeFillShade="F2"/>
          </w:tcPr>
          <w:p w14:paraId="64E98CAD" w14:textId="77777777" w:rsidR="005F297B" w:rsidRDefault="005F297B" w:rsidP="002B2D99">
            <w:pPr>
              <w:spacing w:after="60"/>
              <w:rPr>
                <w:rFonts w:ascii="Calibri" w:hAnsi="Calibri"/>
                <w:sz w:val="18"/>
                <w:szCs w:val="18"/>
              </w:rPr>
            </w:pPr>
            <w:r>
              <w:rPr>
                <w:rFonts w:ascii="Calibri" w:hAnsi="Calibri"/>
                <w:sz w:val="18"/>
                <w:szCs w:val="18"/>
              </w:rPr>
              <w:t>Participate in Home Performance with ENERGY STAR</w:t>
            </w:r>
          </w:p>
        </w:tc>
        <w:tc>
          <w:tcPr>
            <w:tcW w:w="3240" w:type="dxa"/>
            <w:vMerge/>
            <w:tcBorders>
              <w:bottom w:val="single" w:sz="4" w:space="0" w:color="auto"/>
            </w:tcBorders>
            <w:shd w:val="clear" w:color="auto" w:fill="F2F2F2" w:themeFill="background1" w:themeFillShade="F2"/>
          </w:tcPr>
          <w:p w14:paraId="6EC6AA67" w14:textId="77777777" w:rsidR="005F297B" w:rsidRPr="00A478A3" w:rsidRDefault="005F297B" w:rsidP="002B2D99">
            <w:pPr>
              <w:spacing w:after="60"/>
              <w:rPr>
                <w:rFonts w:ascii="Calibri" w:hAnsi="Calibri"/>
                <w:sz w:val="18"/>
                <w:szCs w:val="18"/>
              </w:rPr>
            </w:pPr>
          </w:p>
        </w:tc>
      </w:tr>
      <w:tr w:rsidR="00F93A80" w:rsidRPr="00F158B5" w14:paraId="32D212B6" w14:textId="77777777" w:rsidTr="005F297B">
        <w:trPr>
          <w:cantSplit/>
          <w:jc w:val="center"/>
        </w:trPr>
        <w:tc>
          <w:tcPr>
            <w:tcW w:w="2160" w:type="dxa"/>
            <w:tcBorders>
              <w:bottom w:val="single" w:sz="4" w:space="0" w:color="auto"/>
            </w:tcBorders>
            <w:shd w:val="clear" w:color="auto" w:fill="auto"/>
          </w:tcPr>
          <w:p w14:paraId="258AD3E0" w14:textId="77777777" w:rsidR="00F93A80" w:rsidRPr="005F297B" w:rsidRDefault="00F93A80" w:rsidP="00631CB5">
            <w:pPr>
              <w:spacing w:after="60"/>
              <w:rPr>
                <w:rFonts w:ascii="Calibri" w:hAnsi="Calibri"/>
                <w:b/>
              </w:rPr>
            </w:pPr>
            <w:r w:rsidRPr="005F297B">
              <w:rPr>
                <w:rFonts w:ascii="Calibri" w:hAnsi="Calibri"/>
                <w:b/>
              </w:rPr>
              <w:t>Two Bid Policy</w:t>
            </w:r>
          </w:p>
        </w:tc>
        <w:tc>
          <w:tcPr>
            <w:tcW w:w="2304" w:type="dxa"/>
            <w:tcBorders>
              <w:bottom w:val="single" w:sz="4" w:space="0" w:color="auto"/>
            </w:tcBorders>
            <w:shd w:val="clear" w:color="auto" w:fill="auto"/>
          </w:tcPr>
          <w:p w14:paraId="59EF0DCB" w14:textId="77777777" w:rsidR="00F93A80" w:rsidRPr="005F297B" w:rsidRDefault="00F93A80" w:rsidP="00631CB5">
            <w:pPr>
              <w:spacing w:after="60"/>
              <w:rPr>
                <w:rFonts w:ascii="Calibri" w:hAnsi="Calibri"/>
                <w:sz w:val="18"/>
                <w:szCs w:val="18"/>
              </w:rPr>
            </w:pPr>
            <w:r w:rsidRPr="005F297B">
              <w:rPr>
                <w:rFonts w:ascii="Calibri" w:hAnsi="Calibri"/>
                <w:sz w:val="18"/>
                <w:szCs w:val="18"/>
              </w:rPr>
              <w:t>$20,000</w:t>
            </w:r>
          </w:p>
        </w:tc>
        <w:tc>
          <w:tcPr>
            <w:tcW w:w="3600" w:type="dxa"/>
            <w:tcBorders>
              <w:bottom w:val="single" w:sz="4" w:space="0" w:color="auto"/>
            </w:tcBorders>
            <w:shd w:val="clear" w:color="auto" w:fill="auto"/>
          </w:tcPr>
          <w:p w14:paraId="42F10148" w14:textId="77777777" w:rsidR="00F93A80" w:rsidRPr="005F297B" w:rsidRDefault="00F93A80" w:rsidP="00631CB5">
            <w:pPr>
              <w:spacing w:after="60"/>
              <w:rPr>
                <w:rFonts w:ascii="Calibri" w:hAnsi="Calibri"/>
                <w:sz w:val="18"/>
                <w:szCs w:val="18"/>
              </w:rPr>
            </w:pPr>
            <w:r w:rsidRPr="005F297B">
              <w:rPr>
                <w:rFonts w:ascii="Calibri" w:hAnsi="Calibri"/>
                <w:sz w:val="18"/>
                <w:szCs w:val="18"/>
              </w:rPr>
              <w:t>Requirement to obtain two bids from general contractors and subcontractors; award contract to lowest responsible bidder.</w:t>
            </w:r>
          </w:p>
        </w:tc>
        <w:tc>
          <w:tcPr>
            <w:tcW w:w="3240" w:type="dxa"/>
            <w:tcBorders>
              <w:bottom w:val="single" w:sz="4" w:space="0" w:color="auto"/>
            </w:tcBorders>
            <w:shd w:val="clear" w:color="auto" w:fill="auto"/>
          </w:tcPr>
          <w:p w14:paraId="32CB0D82" w14:textId="77777777" w:rsidR="00F93A80" w:rsidRPr="005F297B" w:rsidRDefault="00F93A80" w:rsidP="00631CB5">
            <w:pPr>
              <w:spacing w:after="60"/>
              <w:rPr>
                <w:rFonts w:ascii="Calibri" w:hAnsi="Calibri"/>
                <w:sz w:val="18"/>
                <w:szCs w:val="18"/>
              </w:rPr>
            </w:pPr>
            <w:r w:rsidRPr="005F297B">
              <w:rPr>
                <w:rFonts w:ascii="Calibri" w:hAnsi="Calibri"/>
                <w:sz w:val="18"/>
                <w:szCs w:val="18"/>
              </w:rPr>
              <w:t>Exemption of process followed for negotiated contract with general contractor.</w:t>
            </w:r>
          </w:p>
        </w:tc>
      </w:tr>
      <w:tr w:rsidR="005F297B" w:rsidRPr="00F158B5" w14:paraId="46CE7508" w14:textId="77777777" w:rsidTr="005F297B">
        <w:trPr>
          <w:cantSplit/>
          <w:jc w:val="center"/>
        </w:trPr>
        <w:tc>
          <w:tcPr>
            <w:tcW w:w="2160" w:type="dxa"/>
            <w:shd w:val="clear" w:color="auto" w:fill="F2F2F2" w:themeFill="background1" w:themeFillShade="F2"/>
          </w:tcPr>
          <w:p w14:paraId="4024ABD4" w14:textId="77777777" w:rsidR="005F297B" w:rsidRPr="00A478A3" w:rsidRDefault="005F297B" w:rsidP="00631CB5">
            <w:pPr>
              <w:rPr>
                <w:rFonts w:ascii="Calibri" w:hAnsi="Calibri"/>
                <w:b/>
              </w:rPr>
            </w:pPr>
            <w:r w:rsidRPr="00A478A3">
              <w:rPr>
                <w:rFonts w:ascii="Calibri" w:hAnsi="Calibri"/>
                <w:b/>
              </w:rPr>
              <w:t>Vendor Outreach Program (VOP)</w:t>
            </w:r>
          </w:p>
        </w:tc>
        <w:tc>
          <w:tcPr>
            <w:tcW w:w="2304" w:type="dxa"/>
            <w:shd w:val="clear" w:color="auto" w:fill="F2F2F2" w:themeFill="background1" w:themeFillShade="F2"/>
          </w:tcPr>
          <w:p w14:paraId="59E0CA71" w14:textId="77777777" w:rsidR="005F297B" w:rsidRPr="004B7EC3" w:rsidRDefault="005F297B" w:rsidP="002B2D99">
            <w:pPr>
              <w:rPr>
                <w:rFonts w:asciiTheme="minorHAnsi" w:hAnsiTheme="minorHAnsi"/>
                <w:sz w:val="18"/>
                <w:szCs w:val="18"/>
              </w:rPr>
            </w:pPr>
            <w:r>
              <w:rPr>
                <w:rFonts w:asciiTheme="minorHAnsi" w:hAnsiTheme="minorHAnsi"/>
                <w:sz w:val="18"/>
                <w:szCs w:val="18"/>
              </w:rPr>
              <w:t>a)</w:t>
            </w:r>
            <w:r w:rsidR="007642C3">
              <w:rPr>
                <w:rFonts w:asciiTheme="minorHAnsi" w:hAnsiTheme="minorHAnsi"/>
                <w:sz w:val="18"/>
                <w:szCs w:val="18"/>
              </w:rPr>
              <w:t xml:space="preserve"> </w:t>
            </w:r>
            <w:r w:rsidRPr="004B7EC3">
              <w:rPr>
                <w:rFonts w:asciiTheme="minorHAnsi" w:hAnsiTheme="minorHAnsi"/>
                <w:sz w:val="18"/>
                <w:szCs w:val="18"/>
              </w:rPr>
              <w:t>Total project cost in excess of $50,000 or more, regardless of City contribution (</w:t>
            </w:r>
            <w:r w:rsidR="007642C3" w:rsidRPr="004B7EC3">
              <w:rPr>
                <w:rFonts w:asciiTheme="minorHAnsi" w:hAnsiTheme="minorHAnsi"/>
                <w:sz w:val="18"/>
                <w:szCs w:val="18"/>
              </w:rPr>
              <w:t>e.g.</w:t>
            </w:r>
            <w:r w:rsidRPr="004B7EC3">
              <w:rPr>
                <w:rFonts w:asciiTheme="minorHAnsi" w:hAnsiTheme="minorHAnsi"/>
                <w:sz w:val="18"/>
                <w:szCs w:val="18"/>
              </w:rPr>
              <w:t>: if there is a STAR grant award of $25,000 and the total project cost is $60,000, VOP applies).</w:t>
            </w:r>
          </w:p>
          <w:p w14:paraId="1FC33682" w14:textId="77777777" w:rsidR="005F297B" w:rsidRPr="00A478A3" w:rsidRDefault="005F297B" w:rsidP="002B2D99">
            <w:pPr>
              <w:rPr>
                <w:rFonts w:ascii="Calibri" w:hAnsi="Calibri"/>
                <w:sz w:val="18"/>
                <w:szCs w:val="18"/>
              </w:rPr>
            </w:pPr>
            <w:r>
              <w:rPr>
                <w:rFonts w:asciiTheme="minorHAnsi" w:hAnsiTheme="minorHAnsi"/>
                <w:sz w:val="18"/>
                <w:szCs w:val="18"/>
              </w:rPr>
              <w:t>b)</w:t>
            </w:r>
            <w:r w:rsidR="007642C3">
              <w:rPr>
                <w:rFonts w:asciiTheme="minorHAnsi" w:hAnsiTheme="minorHAnsi"/>
                <w:sz w:val="18"/>
                <w:szCs w:val="18"/>
              </w:rPr>
              <w:t xml:space="preserve"> </w:t>
            </w:r>
            <w:r w:rsidRPr="00AF1B7E">
              <w:rPr>
                <w:rFonts w:asciiTheme="minorHAnsi" w:hAnsiTheme="minorHAnsi"/>
                <w:sz w:val="18"/>
                <w:szCs w:val="18"/>
              </w:rPr>
              <w:t>Sales made under HRA Land Disposition Policy</w:t>
            </w:r>
          </w:p>
        </w:tc>
        <w:tc>
          <w:tcPr>
            <w:tcW w:w="3600" w:type="dxa"/>
            <w:shd w:val="clear" w:color="auto" w:fill="F2F2F2" w:themeFill="background1" w:themeFillShade="F2"/>
          </w:tcPr>
          <w:p w14:paraId="1F0ECA75" w14:textId="77777777" w:rsidR="005F297B" w:rsidRPr="00A478A3" w:rsidRDefault="005F297B" w:rsidP="002B2D99">
            <w:pPr>
              <w:spacing w:after="60"/>
              <w:rPr>
                <w:rFonts w:ascii="Calibri" w:hAnsi="Calibri"/>
                <w:sz w:val="18"/>
                <w:szCs w:val="18"/>
              </w:rPr>
            </w:pPr>
            <w:r>
              <w:rPr>
                <w:rFonts w:ascii="Calibri" w:hAnsi="Calibri"/>
                <w:sz w:val="18"/>
                <w:szCs w:val="18"/>
              </w:rPr>
              <w:t>Project goals set on a project-by-project basis. Generally,</w:t>
            </w:r>
            <w:r w:rsidRPr="00A478A3">
              <w:rPr>
                <w:rFonts w:ascii="Calibri" w:hAnsi="Calibri"/>
                <w:sz w:val="18"/>
                <w:szCs w:val="18"/>
              </w:rPr>
              <w:t xml:space="preserve"> 25% of Business Opportunities should be awarded to </w:t>
            </w:r>
            <w:r>
              <w:rPr>
                <w:rFonts w:ascii="Calibri" w:hAnsi="Calibri"/>
                <w:sz w:val="18"/>
                <w:szCs w:val="18"/>
              </w:rPr>
              <w:t xml:space="preserve">CERT certified </w:t>
            </w:r>
            <w:r w:rsidRPr="00A478A3">
              <w:rPr>
                <w:rFonts w:ascii="Calibri" w:hAnsi="Calibri"/>
                <w:sz w:val="18"/>
                <w:szCs w:val="18"/>
              </w:rPr>
              <w:t xml:space="preserve">Small, Women-owned and Minority-owned businesses, with at least </w:t>
            </w:r>
            <w:r>
              <w:rPr>
                <w:rFonts w:ascii="Calibri" w:hAnsi="Calibri"/>
                <w:sz w:val="18"/>
                <w:szCs w:val="18"/>
              </w:rPr>
              <w:t xml:space="preserve">10% awarded to Small businesses, </w:t>
            </w:r>
            <w:r w:rsidRPr="00A478A3">
              <w:rPr>
                <w:rFonts w:ascii="Calibri" w:hAnsi="Calibri"/>
                <w:sz w:val="18"/>
                <w:szCs w:val="18"/>
              </w:rPr>
              <w:t xml:space="preserve">10% awarded to Women-owned </w:t>
            </w:r>
            <w:r>
              <w:rPr>
                <w:rFonts w:ascii="Calibri" w:hAnsi="Calibri"/>
                <w:sz w:val="18"/>
                <w:szCs w:val="18"/>
              </w:rPr>
              <w:t xml:space="preserve">businesses, </w:t>
            </w:r>
            <w:r w:rsidRPr="00A478A3">
              <w:rPr>
                <w:rFonts w:ascii="Calibri" w:hAnsi="Calibri"/>
                <w:sz w:val="18"/>
                <w:szCs w:val="18"/>
              </w:rPr>
              <w:t xml:space="preserve">and at least 5% to Minority-owned businesses. </w:t>
            </w:r>
          </w:p>
          <w:p w14:paraId="1579AAF2" w14:textId="77777777" w:rsidR="005F297B" w:rsidRPr="00A478A3" w:rsidRDefault="005F297B" w:rsidP="002B2D99">
            <w:pPr>
              <w:spacing w:after="60"/>
              <w:rPr>
                <w:rFonts w:ascii="Calibri" w:hAnsi="Calibri"/>
                <w:sz w:val="18"/>
                <w:szCs w:val="18"/>
              </w:rPr>
            </w:pPr>
            <w:r w:rsidRPr="00A478A3">
              <w:rPr>
                <w:rFonts w:ascii="Calibri" w:hAnsi="Calibri"/>
                <w:sz w:val="18"/>
                <w:szCs w:val="18"/>
              </w:rPr>
              <w:t xml:space="preserve">B2Gnow reporting required. </w:t>
            </w:r>
            <w:r w:rsidRPr="00A478A3">
              <w:rPr>
                <w:rFonts w:ascii="Calibri" w:hAnsi="Calibri"/>
                <w:sz w:val="18"/>
                <w:szCs w:val="18"/>
              </w:rPr>
              <w:br/>
              <w:t xml:space="preserve">(Good faith efforts) </w:t>
            </w:r>
          </w:p>
        </w:tc>
        <w:tc>
          <w:tcPr>
            <w:tcW w:w="3240" w:type="dxa"/>
            <w:shd w:val="clear" w:color="auto" w:fill="F2F2F2" w:themeFill="background1" w:themeFillShade="F2"/>
          </w:tcPr>
          <w:p w14:paraId="779FC17B" w14:textId="77777777" w:rsidR="005F297B" w:rsidRPr="00A478A3" w:rsidRDefault="005F297B" w:rsidP="00631CB5">
            <w:pPr>
              <w:rPr>
                <w:rFonts w:ascii="Calibri" w:hAnsi="Calibri"/>
                <w:sz w:val="18"/>
                <w:szCs w:val="18"/>
              </w:rPr>
            </w:pPr>
            <w:r w:rsidRPr="00A478A3">
              <w:rPr>
                <w:rFonts w:ascii="Calibri" w:hAnsi="Calibri"/>
                <w:sz w:val="18"/>
                <w:szCs w:val="18"/>
              </w:rPr>
              <w:t>None</w:t>
            </w:r>
          </w:p>
        </w:tc>
      </w:tr>
    </w:tbl>
    <w:p w14:paraId="796C9CBA" w14:textId="77777777" w:rsidR="00F93A80" w:rsidRPr="00024187" w:rsidRDefault="00F93A80" w:rsidP="00F93A80">
      <w:pPr>
        <w:spacing w:after="60"/>
        <w:ind w:left="3240" w:right="2880" w:hanging="360"/>
        <w:rPr>
          <w:sz w:val="20"/>
        </w:rPr>
      </w:pPr>
    </w:p>
    <w:p w14:paraId="56C59031" w14:textId="77777777" w:rsidR="00F6544E" w:rsidRDefault="00F6544E"/>
    <w:p w14:paraId="7439951E" w14:textId="77777777" w:rsidR="002532C9" w:rsidRPr="002E279E" w:rsidRDefault="00F6544E" w:rsidP="002532C9">
      <w:pPr>
        <w:jc w:val="right"/>
        <w:rPr>
          <w:rFonts w:asciiTheme="minorHAnsi" w:hAnsiTheme="minorHAnsi" w:cstheme="minorHAnsi"/>
          <w:sz w:val="20"/>
        </w:rPr>
      </w:pPr>
      <w:r w:rsidRPr="002E279E">
        <w:rPr>
          <w:rFonts w:asciiTheme="minorHAnsi" w:hAnsiTheme="minorHAnsi" w:cstheme="minorHAnsi"/>
          <w:sz w:val="20"/>
        </w:rPr>
        <w:t xml:space="preserve">I hereby acknowledge </w:t>
      </w:r>
      <w:r w:rsidR="002532C9" w:rsidRPr="002E279E">
        <w:rPr>
          <w:rFonts w:asciiTheme="minorHAnsi" w:hAnsiTheme="minorHAnsi" w:cstheme="minorHAnsi"/>
          <w:sz w:val="20"/>
        </w:rPr>
        <w:t>receipt of this compliance matrix</w:t>
      </w:r>
      <w:r w:rsidR="002E279E" w:rsidRPr="002E279E">
        <w:rPr>
          <w:rFonts w:asciiTheme="minorHAnsi" w:hAnsiTheme="minorHAnsi" w:cstheme="minorHAnsi"/>
          <w:sz w:val="20"/>
        </w:rPr>
        <w:t>*</w:t>
      </w:r>
      <w:r w:rsidR="002532C9" w:rsidRPr="002E279E">
        <w:rPr>
          <w:rFonts w:asciiTheme="minorHAnsi" w:hAnsiTheme="minorHAnsi" w:cstheme="minorHAnsi"/>
          <w:sz w:val="20"/>
        </w:rPr>
        <w:t>: __________</w:t>
      </w:r>
    </w:p>
    <w:p w14:paraId="601AA0A0" w14:textId="77777777" w:rsidR="002532C9" w:rsidRPr="002E279E" w:rsidRDefault="002532C9" w:rsidP="002532C9">
      <w:pPr>
        <w:jc w:val="right"/>
        <w:rPr>
          <w:rFonts w:asciiTheme="minorHAnsi" w:hAnsiTheme="minorHAnsi" w:cstheme="minorHAnsi"/>
          <w:i/>
          <w:sz w:val="20"/>
        </w:rPr>
      </w:pPr>
      <w:r w:rsidRPr="002E279E">
        <w:rPr>
          <w:rFonts w:asciiTheme="minorHAnsi" w:hAnsiTheme="minorHAnsi" w:cstheme="minorHAnsi"/>
          <w:sz w:val="20"/>
        </w:rPr>
        <w:tab/>
        <w:t>(</w:t>
      </w:r>
      <w:r w:rsidRPr="002E279E">
        <w:rPr>
          <w:rFonts w:asciiTheme="minorHAnsi" w:hAnsiTheme="minorHAnsi" w:cstheme="minorHAnsi"/>
          <w:i/>
          <w:sz w:val="20"/>
        </w:rPr>
        <w:t>initial)</w:t>
      </w:r>
    </w:p>
    <w:p w14:paraId="7890F65C" w14:textId="77777777" w:rsidR="002532C9" w:rsidRPr="002532C9" w:rsidRDefault="002532C9" w:rsidP="002532C9">
      <w:pPr>
        <w:jc w:val="right"/>
        <w:rPr>
          <w:rFonts w:asciiTheme="minorHAnsi" w:hAnsiTheme="minorHAnsi" w:cstheme="minorHAnsi"/>
          <w:i/>
        </w:rPr>
      </w:pPr>
    </w:p>
    <w:p w14:paraId="6C481843" w14:textId="77777777" w:rsidR="00F6544E" w:rsidRPr="002E279E" w:rsidRDefault="002E279E" w:rsidP="002532C9">
      <w:pPr>
        <w:jc w:val="right"/>
        <w:rPr>
          <w:rFonts w:asciiTheme="minorHAnsi" w:hAnsiTheme="minorHAnsi" w:cstheme="minorHAnsi"/>
          <w:i/>
          <w:sz w:val="20"/>
        </w:rPr>
      </w:pPr>
      <w:r w:rsidRPr="002E279E">
        <w:rPr>
          <w:rFonts w:asciiTheme="minorHAnsi" w:hAnsiTheme="minorHAnsi" w:cstheme="minorHAnsi"/>
          <w:i/>
          <w:sz w:val="20"/>
        </w:rPr>
        <w:t>*</w:t>
      </w:r>
      <w:r w:rsidR="002532C9" w:rsidRPr="002E279E">
        <w:rPr>
          <w:rFonts w:asciiTheme="minorHAnsi" w:hAnsiTheme="minorHAnsi" w:cstheme="minorHAnsi"/>
          <w:i/>
          <w:sz w:val="20"/>
        </w:rPr>
        <w:t xml:space="preserve">Initialing this document in no way signals a binding agreement, representation or understanding of compliance requirements herein. </w:t>
      </w:r>
    </w:p>
    <w:sectPr w:rsidR="00F6544E" w:rsidRPr="002E2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160CA"/>
    <w:multiLevelType w:val="hybridMultilevel"/>
    <w:tmpl w:val="C836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13E4A"/>
    <w:multiLevelType w:val="hybridMultilevel"/>
    <w:tmpl w:val="0ACED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F42B1"/>
    <w:multiLevelType w:val="hybridMultilevel"/>
    <w:tmpl w:val="AE14B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FC73E0"/>
    <w:multiLevelType w:val="hybridMultilevel"/>
    <w:tmpl w:val="3A7AB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327039"/>
    <w:multiLevelType w:val="hybridMultilevel"/>
    <w:tmpl w:val="7626255E"/>
    <w:lvl w:ilvl="0" w:tplc="86F870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50AF2"/>
    <w:multiLevelType w:val="hybridMultilevel"/>
    <w:tmpl w:val="4A56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773FBC"/>
    <w:multiLevelType w:val="hybridMultilevel"/>
    <w:tmpl w:val="967E0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A80"/>
    <w:rsid w:val="00050CB3"/>
    <w:rsid w:val="002532C9"/>
    <w:rsid w:val="002E279E"/>
    <w:rsid w:val="00403B38"/>
    <w:rsid w:val="005023AD"/>
    <w:rsid w:val="005B5502"/>
    <w:rsid w:val="005F297B"/>
    <w:rsid w:val="006848BF"/>
    <w:rsid w:val="007642C3"/>
    <w:rsid w:val="007E0E13"/>
    <w:rsid w:val="00833390"/>
    <w:rsid w:val="00A0356B"/>
    <w:rsid w:val="00A338C5"/>
    <w:rsid w:val="00A37014"/>
    <w:rsid w:val="00B61C41"/>
    <w:rsid w:val="00D12ACA"/>
    <w:rsid w:val="00DF79A6"/>
    <w:rsid w:val="00E72617"/>
    <w:rsid w:val="00EB5EB7"/>
    <w:rsid w:val="00ED3252"/>
    <w:rsid w:val="00EF287F"/>
    <w:rsid w:val="00F6544E"/>
    <w:rsid w:val="00F9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0E70"/>
  <w15:docId w15:val="{70B44D45-08D7-4C65-ABA5-91565702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A8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3A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B5E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E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Wolfe</dc:creator>
  <cp:lastModifiedBy>King, Crystal (CI-StPaul)</cp:lastModifiedBy>
  <cp:revision>4</cp:revision>
  <dcterms:created xsi:type="dcterms:W3CDTF">2020-02-12T13:43:00Z</dcterms:created>
  <dcterms:modified xsi:type="dcterms:W3CDTF">2022-06-13T21:15:00Z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FTHINGID">
    <vt:lpwstr>ODYV9GHF0DNJ6L</vt:lpwstr>
  </property>
  <property fmtid="{D5CDD505-2E9C-101B-9397-08002B2CF9AE}" pid="3" name="LFORIGNAME">
    <vt:lpwstr>LegalFilesWeb1.docx</vt:lpwstr>
  </property>
</Properties>
</file>