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73198" w14:textId="77777777" w:rsidR="00855F24" w:rsidRDefault="00E6030F" w:rsidP="005D25F6">
      <w:pPr>
        <w:rPr>
          <w:rFonts w:ascii="Calibri" w:hAnsi="Calibri"/>
          <w:b/>
          <w:sz w:val="22"/>
          <w:szCs w:val="22"/>
        </w:rPr>
      </w:pPr>
      <w:r w:rsidRPr="005D25F6">
        <w:rPr>
          <w:rFonts w:asciiTheme="minorHAnsi" w:hAnsiTheme="minorHAnsi"/>
          <w:b/>
          <w:sz w:val="22"/>
          <w:szCs w:val="22"/>
        </w:rPr>
        <w:t>Instructions:</w:t>
      </w:r>
      <w:r w:rsidRPr="00E65BCB">
        <w:rPr>
          <w:rFonts w:asciiTheme="minorHAnsi" w:hAnsiTheme="minorHAnsi"/>
          <w:sz w:val="22"/>
          <w:szCs w:val="22"/>
        </w:rPr>
        <w:t xml:space="preserve"> </w:t>
      </w:r>
      <w:r w:rsidRPr="005D25F6">
        <w:rPr>
          <w:rFonts w:ascii="Calibri" w:hAnsi="Calibri"/>
          <w:bCs/>
          <w:sz w:val="22"/>
          <w:szCs w:val="22"/>
        </w:rPr>
        <w:t>Sect</w:t>
      </w:r>
      <w:r w:rsidR="00B0328B">
        <w:rPr>
          <w:rFonts w:ascii="Calibri" w:hAnsi="Calibri"/>
          <w:bCs/>
          <w:sz w:val="22"/>
          <w:szCs w:val="22"/>
        </w:rPr>
        <w:t xml:space="preserve">ion A </w:t>
      </w:r>
      <w:r w:rsidR="008464D6">
        <w:rPr>
          <w:rFonts w:ascii="Calibri" w:hAnsi="Calibri"/>
          <w:bCs/>
          <w:sz w:val="22"/>
          <w:szCs w:val="22"/>
        </w:rPr>
        <w:t xml:space="preserve">is </w:t>
      </w:r>
      <w:r w:rsidR="00B0328B">
        <w:rPr>
          <w:rFonts w:ascii="Calibri" w:hAnsi="Calibri"/>
          <w:bCs/>
          <w:sz w:val="22"/>
          <w:szCs w:val="22"/>
        </w:rPr>
        <w:t xml:space="preserve">to be completed by </w:t>
      </w:r>
      <w:r w:rsidR="008464D6">
        <w:rPr>
          <w:rFonts w:ascii="Calibri" w:hAnsi="Calibri"/>
          <w:bCs/>
          <w:sz w:val="22"/>
          <w:szCs w:val="22"/>
        </w:rPr>
        <w:t xml:space="preserve">the </w:t>
      </w:r>
      <w:r w:rsidR="00F644DF">
        <w:rPr>
          <w:rFonts w:ascii="Calibri" w:hAnsi="Calibri"/>
          <w:bCs/>
          <w:sz w:val="22"/>
          <w:szCs w:val="22"/>
        </w:rPr>
        <w:t xml:space="preserve">owner. </w:t>
      </w:r>
      <w:r w:rsidRPr="005D25F6">
        <w:rPr>
          <w:rFonts w:ascii="Calibri" w:hAnsi="Calibri"/>
          <w:bCs/>
          <w:sz w:val="22"/>
          <w:szCs w:val="22"/>
        </w:rPr>
        <w:t xml:space="preserve">Section B is to be signed by </w:t>
      </w:r>
      <w:r w:rsidR="008464D6">
        <w:rPr>
          <w:rFonts w:ascii="Calibri" w:hAnsi="Calibri"/>
          <w:bCs/>
          <w:sz w:val="22"/>
          <w:szCs w:val="22"/>
        </w:rPr>
        <w:t xml:space="preserve">the </w:t>
      </w:r>
      <w:r w:rsidR="00F644DF">
        <w:rPr>
          <w:rFonts w:ascii="Calibri" w:hAnsi="Calibri"/>
          <w:bCs/>
          <w:sz w:val="22"/>
          <w:szCs w:val="22"/>
        </w:rPr>
        <w:t>l</w:t>
      </w:r>
      <w:r w:rsidRPr="005D25F6">
        <w:rPr>
          <w:rFonts w:ascii="Calibri" w:hAnsi="Calibri"/>
          <w:bCs/>
          <w:sz w:val="22"/>
          <w:szCs w:val="22"/>
        </w:rPr>
        <w:t>ender</w:t>
      </w:r>
      <w:r w:rsidR="000C41A5">
        <w:rPr>
          <w:rFonts w:ascii="Calibri" w:hAnsi="Calibri"/>
          <w:bCs/>
          <w:sz w:val="22"/>
          <w:szCs w:val="22"/>
        </w:rPr>
        <w:t xml:space="preserve"> if Minnesota Housing is not the first mortgage provider.</w:t>
      </w:r>
    </w:p>
    <w:p w14:paraId="70565F38" w14:textId="77777777" w:rsidR="00E65BCB" w:rsidRPr="005D25F6" w:rsidRDefault="00E65BCB" w:rsidP="005D25F6">
      <w:pPr>
        <w:rPr>
          <w:rFonts w:ascii="Calibri" w:hAnsi="Calibri"/>
          <w:bCs/>
          <w:sz w:val="22"/>
          <w:szCs w:val="22"/>
        </w:rPr>
      </w:pPr>
    </w:p>
    <w:p w14:paraId="3C8FE0BA" w14:textId="77777777" w:rsidR="00855F24" w:rsidRPr="005D25F6" w:rsidRDefault="00855F24" w:rsidP="00F644D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ascii="Calibri" w:hAnsi="Calibri"/>
          <w:bCs/>
          <w:sz w:val="22"/>
          <w:szCs w:val="22"/>
        </w:rPr>
      </w:pPr>
      <w:r>
        <w:rPr>
          <w:rFonts w:ascii="Calibri" w:hAnsi="Calibri"/>
          <w:b/>
          <w:sz w:val="22"/>
          <w:szCs w:val="22"/>
        </w:rPr>
        <w:t>Section A</w:t>
      </w:r>
    </w:p>
    <w:p w14:paraId="76AD234C" w14:textId="77777777" w:rsidR="00E7635F" w:rsidRPr="005D25F6" w:rsidRDefault="00E7635F" w:rsidP="00476734">
      <w:pPr>
        <w:spacing w:before="120"/>
        <w:rPr>
          <w:rFonts w:asciiTheme="minorHAnsi" w:hAnsiTheme="minorHAnsi"/>
          <w:sz w:val="22"/>
          <w:szCs w:val="22"/>
        </w:rPr>
      </w:pPr>
      <w:r w:rsidRPr="003F5868">
        <w:rPr>
          <w:rFonts w:asciiTheme="minorHAnsi" w:hAnsiTheme="minorHAnsi"/>
          <w:b/>
          <w:sz w:val="22"/>
          <w:szCs w:val="22"/>
        </w:rPr>
        <w:t>NOTE:</w:t>
      </w:r>
      <w:r w:rsidR="00F644DF">
        <w:rPr>
          <w:rFonts w:asciiTheme="minorHAnsi" w:hAnsiTheme="minorHAnsi"/>
          <w:sz w:val="22"/>
          <w:szCs w:val="22"/>
        </w:rPr>
        <w:t xml:space="preserve"> </w:t>
      </w:r>
      <w:r w:rsidRPr="005D25F6">
        <w:rPr>
          <w:rFonts w:asciiTheme="minorHAnsi" w:hAnsiTheme="minorHAnsi"/>
          <w:sz w:val="22"/>
          <w:szCs w:val="22"/>
        </w:rPr>
        <w:t xml:space="preserve">In providing the below requested information and certification, the lending institution must reference and be aware of information contained in the Minnesota Housing Multifamily Workbook prepared by the applicant and the underwriting requirements contained in the Minnesota Housing Underwriting Standards available on </w:t>
      </w:r>
      <w:hyperlink r:id="rId8" w:history="1">
        <w:r w:rsidRPr="005D25F6">
          <w:rPr>
            <w:rStyle w:val="Hyperlink"/>
            <w:rFonts w:asciiTheme="minorHAnsi" w:hAnsiTheme="minorHAnsi" w:cs="Times"/>
            <w:sz w:val="22"/>
            <w:szCs w:val="22"/>
          </w:rPr>
          <w:t>Minnesota Housing</w:t>
        </w:r>
        <w:r w:rsidRPr="00855F24">
          <w:rPr>
            <w:rStyle w:val="Hyperlink"/>
            <w:rFonts w:asciiTheme="minorHAnsi" w:hAnsiTheme="minorHAnsi" w:cs="Times"/>
            <w:sz w:val="22"/>
            <w:szCs w:val="22"/>
          </w:rPr>
          <w:t>’</w:t>
        </w:r>
        <w:r w:rsidRPr="005D25F6">
          <w:rPr>
            <w:rStyle w:val="Hyperlink"/>
            <w:rFonts w:asciiTheme="minorHAnsi" w:hAnsiTheme="minorHAnsi" w:cs="Times"/>
            <w:sz w:val="22"/>
            <w:szCs w:val="22"/>
          </w:rPr>
          <w:t>s website</w:t>
        </w:r>
      </w:hyperlink>
      <w:r w:rsidRPr="005D25F6">
        <w:rPr>
          <w:rFonts w:asciiTheme="minorHAnsi" w:hAnsiTheme="minorHAnsi"/>
          <w:sz w:val="22"/>
          <w:szCs w:val="22"/>
        </w:rPr>
        <w:t xml:space="preserve">.  Minnesota Housing will look for these standards to be maintained unless </w:t>
      </w:r>
      <w:r w:rsidR="00DF7C41">
        <w:rPr>
          <w:rFonts w:asciiTheme="minorHAnsi" w:hAnsiTheme="minorHAnsi"/>
          <w:sz w:val="22"/>
          <w:szCs w:val="22"/>
        </w:rPr>
        <w:t xml:space="preserve">the agency </w:t>
      </w:r>
      <w:proofErr w:type="gramStart"/>
      <w:r w:rsidR="00DF7C41">
        <w:rPr>
          <w:rFonts w:asciiTheme="minorHAnsi" w:hAnsiTheme="minorHAnsi"/>
          <w:sz w:val="22"/>
          <w:szCs w:val="22"/>
        </w:rPr>
        <w:t>has,</w:t>
      </w:r>
      <w:proofErr w:type="gramEnd"/>
      <w:r w:rsidR="00DF7C41">
        <w:rPr>
          <w:rFonts w:asciiTheme="minorHAnsi" w:hAnsiTheme="minorHAnsi"/>
          <w:sz w:val="22"/>
          <w:szCs w:val="22"/>
        </w:rPr>
        <w:t xml:space="preserve"> at its sole discretion,</w:t>
      </w:r>
      <w:r w:rsidR="00DF7C41" w:rsidRPr="005D25F6">
        <w:rPr>
          <w:rFonts w:asciiTheme="minorHAnsi" w:hAnsiTheme="minorHAnsi"/>
          <w:sz w:val="22"/>
          <w:szCs w:val="22"/>
        </w:rPr>
        <w:t xml:space="preserve"> </w:t>
      </w:r>
      <w:r w:rsidRPr="005D25F6">
        <w:rPr>
          <w:rFonts w:asciiTheme="minorHAnsi" w:hAnsiTheme="minorHAnsi"/>
          <w:sz w:val="22"/>
          <w:szCs w:val="22"/>
        </w:rPr>
        <w:t>approved adjustments.</w:t>
      </w:r>
    </w:p>
    <w:p w14:paraId="6B3011BE" w14:textId="77777777" w:rsidR="00F3542F" w:rsidRPr="00F644DF" w:rsidRDefault="007E175E" w:rsidP="007D612E">
      <w:pPr>
        <w:spacing w:before="360"/>
        <w:rPr>
          <w:rFonts w:asciiTheme="minorHAnsi" w:hAnsiTheme="minorHAnsi"/>
          <w:color w:val="000000" w:themeColor="text1"/>
          <w:sz w:val="22"/>
          <w:szCs w:val="22"/>
          <w:u w:val="single"/>
        </w:rPr>
      </w:pPr>
      <w:r>
        <w:rPr>
          <w:rFonts w:asciiTheme="minorHAnsi" w:hAnsiTheme="minorHAnsi"/>
          <w:color w:val="000000" w:themeColor="text1"/>
          <w:sz w:val="22"/>
          <w:szCs w:val="22"/>
        </w:rPr>
        <w:t>Project</w:t>
      </w:r>
      <w:r w:rsidRPr="00F644DF">
        <w:rPr>
          <w:rFonts w:asciiTheme="minorHAnsi" w:hAnsiTheme="minorHAnsi"/>
          <w:color w:val="000000" w:themeColor="text1"/>
          <w:sz w:val="22"/>
          <w:szCs w:val="22"/>
        </w:rPr>
        <w:t xml:space="preserve"> </w:t>
      </w:r>
      <w:r w:rsidR="00DF7C41">
        <w:rPr>
          <w:rFonts w:asciiTheme="minorHAnsi" w:hAnsiTheme="minorHAnsi"/>
          <w:color w:val="000000" w:themeColor="text1"/>
          <w:sz w:val="22"/>
          <w:szCs w:val="22"/>
        </w:rPr>
        <w:t>N</w:t>
      </w:r>
      <w:r w:rsidR="00DF7C41" w:rsidRPr="00F644DF">
        <w:rPr>
          <w:rFonts w:asciiTheme="minorHAnsi" w:hAnsiTheme="minorHAnsi"/>
          <w:color w:val="000000" w:themeColor="text1"/>
          <w:sz w:val="22"/>
          <w:szCs w:val="22"/>
        </w:rPr>
        <w:t>ame</w:t>
      </w:r>
      <w:r w:rsidR="00E65BCB" w:rsidRPr="00F644DF">
        <w:rPr>
          <w:rFonts w:asciiTheme="minorHAnsi" w:hAnsiTheme="minorHAnsi"/>
          <w:color w:val="000000" w:themeColor="text1"/>
          <w:sz w:val="22"/>
          <w:szCs w:val="22"/>
        </w:rPr>
        <w:t>:</w:t>
      </w:r>
      <w:r w:rsidR="005D25F6" w:rsidRPr="00F644DF">
        <w:rPr>
          <w:rFonts w:asciiTheme="minorHAnsi" w:hAnsiTheme="minorHAnsi"/>
          <w:color w:val="000000" w:themeColor="text1"/>
          <w:sz w:val="22"/>
          <w:szCs w:val="22"/>
        </w:rPr>
        <w:t xml:space="preserve"> </w:t>
      </w:r>
      <w:r w:rsidR="00CC3865" w:rsidRPr="00CC3865">
        <w:rPr>
          <w:rFonts w:ascii="Calibri" w:hAnsi="Calibri"/>
          <w:sz w:val="22"/>
          <w:szCs w:val="22"/>
          <w:u w:val="single"/>
        </w:rPr>
        <w:fldChar w:fldCharType="begin">
          <w:ffData>
            <w:name w:val=""/>
            <w:enabled/>
            <w:calcOnExit w:val="0"/>
            <w:textInput/>
          </w:ffData>
        </w:fldChar>
      </w:r>
      <w:r w:rsidR="00CC3865" w:rsidRPr="00CC3865">
        <w:rPr>
          <w:rFonts w:ascii="Calibri" w:hAnsi="Calibri"/>
          <w:sz w:val="22"/>
          <w:szCs w:val="22"/>
          <w:u w:val="single"/>
        </w:rPr>
        <w:instrText xml:space="preserve"> FORMTEXT </w:instrText>
      </w:r>
      <w:r w:rsidR="00CC3865" w:rsidRPr="00CC3865">
        <w:rPr>
          <w:rFonts w:ascii="Calibri" w:hAnsi="Calibri"/>
          <w:sz w:val="22"/>
          <w:szCs w:val="22"/>
          <w:u w:val="single"/>
        </w:rPr>
      </w:r>
      <w:r w:rsidR="00CC3865" w:rsidRPr="00CC3865">
        <w:rPr>
          <w:rFonts w:ascii="Calibri" w:hAnsi="Calibri"/>
          <w:sz w:val="22"/>
          <w:szCs w:val="22"/>
          <w:u w:val="single"/>
        </w:rPr>
        <w:fldChar w:fldCharType="separate"/>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sz w:val="22"/>
          <w:szCs w:val="22"/>
          <w:u w:val="single"/>
        </w:rPr>
        <w:fldChar w:fldCharType="end"/>
      </w:r>
    </w:p>
    <w:p w14:paraId="2E259F09" w14:textId="77777777" w:rsidR="00F3542F" w:rsidRPr="00F644DF" w:rsidRDefault="007E175E" w:rsidP="00476734">
      <w:pPr>
        <w:spacing w:before="120"/>
        <w:rPr>
          <w:rFonts w:asciiTheme="minorHAnsi" w:hAnsiTheme="minorHAnsi"/>
          <w:color w:val="000000" w:themeColor="text1"/>
          <w:sz w:val="22"/>
          <w:szCs w:val="22"/>
          <w:u w:val="single"/>
        </w:rPr>
      </w:pPr>
      <w:r>
        <w:rPr>
          <w:rFonts w:asciiTheme="minorHAnsi" w:hAnsiTheme="minorHAnsi"/>
          <w:color w:val="000000" w:themeColor="text1"/>
          <w:sz w:val="22"/>
          <w:szCs w:val="22"/>
        </w:rPr>
        <w:t xml:space="preserve">Project </w:t>
      </w:r>
      <w:r w:rsidR="00DF7C41">
        <w:rPr>
          <w:rFonts w:asciiTheme="minorHAnsi" w:hAnsiTheme="minorHAnsi"/>
          <w:color w:val="000000" w:themeColor="text1"/>
          <w:sz w:val="22"/>
          <w:szCs w:val="22"/>
        </w:rPr>
        <w:t>A</w:t>
      </w:r>
      <w:r w:rsidR="00DF7C41" w:rsidRPr="00F644DF">
        <w:rPr>
          <w:rFonts w:asciiTheme="minorHAnsi" w:hAnsiTheme="minorHAnsi"/>
          <w:color w:val="000000" w:themeColor="text1"/>
          <w:sz w:val="22"/>
          <w:szCs w:val="22"/>
        </w:rPr>
        <w:t>ddress</w:t>
      </w:r>
      <w:r w:rsidR="00342073" w:rsidRPr="00F644DF">
        <w:rPr>
          <w:rFonts w:asciiTheme="minorHAnsi" w:hAnsiTheme="minorHAnsi"/>
          <w:color w:val="000000" w:themeColor="text1"/>
          <w:sz w:val="22"/>
          <w:szCs w:val="22"/>
        </w:rPr>
        <w:t>:</w:t>
      </w:r>
      <w:r w:rsidR="00F3542F" w:rsidRPr="00F644DF">
        <w:rPr>
          <w:rFonts w:asciiTheme="minorHAnsi" w:hAnsiTheme="minorHAnsi"/>
          <w:color w:val="000000" w:themeColor="text1"/>
          <w:sz w:val="22"/>
          <w:szCs w:val="22"/>
        </w:rPr>
        <w:t xml:space="preserve"> </w:t>
      </w:r>
      <w:r w:rsidR="00CC3865" w:rsidRPr="00CC3865">
        <w:rPr>
          <w:rFonts w:ascii="Calibri" w:hAnsi="Calibri"/>
          <w:sz w:val="22"/>
          <w:szCs w:val="22"/>
          <w:u w:val="single"/>
        </w:rPr>
        <w:fldChar w:fldCharType="begin">
          <w:ffData>
            <w:name w:val=""/>
            <w:enabled/>
            <w:calcOnExit w:val="0"/>
            <w:textInput/>
          </w:ffData>
        </w:fldChar>
      </w:r>
      <w:r w:rsidR="00CC3865" w:rsidRPr="00CC3865">
        <w:rPr>
          <w:rFonts w:ascii="Calibri" w:hAnsi="Calibri"/>
          <w:sz w:val="22"/>
          <w:szCs w:val="22"/>
          <w:u w:val="single"/>
        </w:rPr>
        <w:instrText xml:space="preserve"> FORMTEXT </w:instrText>
      </w:r>
      <w:r w:rsidR="00CC3865" w:rsidRPr="00CC3865">
        <w:rPr>
          <w:rFonts w:ascii="Calibri" w:hAnsi="Calibri"/>
          <w:sz w:val="22"/>
          <w:szCs w:val="22"/>
          <w:u w:val="single"/>
        </w:rPr>
      </w:r>
      <w:r w:rsidR="00CC3865" w:rsidRPr="00CC3865">
        <w:rPr>
          <w:rFonts w:ascii="Calibri" w:hAnsi="Calibri"/>
          <w:sz w:val="22"/>
          <w:szCs w:val="22"/>
          <w:u w:val="single"/>
        </w:rPr>
        <w:fldChar w:fldCharType="separate"/>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sz w:val="22"/>
          <w:szCs w:val="22"/>
          <w:u w:val="single"/>
        </w:rPr>
        <w:fldChar w:fldCharType="end"/>
      </w:r>
    </w:p>
    <w:p w14:paraId="7452DD3B" w14:textId="77777777" w:rsidR="00F3542F" w:rsidRPr="00F644DF" w:rsidRDefault="00F3542F" w:rsidP="00CC3865">
      <w:pPr>
        <w:tabs>
          <w:tab w:val="left" w:pos="5760"/>
        </w:tabs>
        <w:spacing w:before="120"/>
        <w:rPr>
          <w:rFonts w:asciiTheme="minorHAnsi" w:hAnsiTheme="minorHAnsi"/>
          <w:color w:val="000000" w:themeColor="text1"/>
          <w:sz w:val="22"/>
          <w:szCs w:val="22"/>
        </w:rPr>
      </w:pPr>
      <w:r w:rsidRPr="00F644DF">
        <w:rPr>
          <w:rFonts w:asciiTheme="minorHAnsi" w:hAnsiTheme="minorHAnsi"/>
          <w:color w:val="000000" w:themeColor="text1"/>
          <w:sz w:val="22"/>
          <w:szCs w:val="22"/>
        </w:rPr>
        <w:t>A</w:t>
      </w:r>
      <w:r w:rsidR="001F3384" w:rsidRPr="00F644DF">
        <w:rPr>
          <w:rFonts w:asciiTheme="minorHAnsi" w:hAnsiTheme="minorHAnsi"/>
          <w:color w:val="000000" w:themeColor="text1"/>
          <w:sz w:val="22"/>
          <w:szCs w:val="22"/>
        </w:rPr>
        <w:t>nnual Gross</w:t>
      </w:r>
      <w:r w:rsidR="00DA2BB3" w:rsidRPr="00F644DF">
        <w:rPr>
          <w:rFonts w:asciiTheme="minorHAnsi" w:hAnsiTheme="minorHAnsi"/>
          <w:color w:val="000000" w:themeColor="text1"/>
          <w:sz w:val="22"/>
          <w:szCs w:val="22"/>
        </w:rPr>
        <w:t xml:space="preserve"> Potential Rent </w:t>
      </w:r>
      <w:r w:rsidR="004A0EC3" w:rsidRPr="00F644DF">
        <w:rPr>
          <w:rFonts w:asciiTheme="minorHAnsi" w:hAnsiTheme="minorHAnsi"/>
          <w:color w:val="000000" w:themeColor="text1"/>
          <w:sz w:val="22"/>
          <w:szCs w:val="22"/>
        </w:rPr>
        <w:tab/>
      </w:r>
      <w:r w:rsidRPr="00F644DF">
        <w:rPr>
          <w:rFonts w:asciiTheme="minorHAnsi" w:hAnsiTheme="minorHAnsi"/>
          <w:color w:val="000000" w:themeColor="text1"/>
          <w:sz w:val="22"/>
          <w:szCs w:val="22"/>
        </w:rPr>
        <w:t>$</w:t>
      </w:r>
      <w:r w:rsidR="00CC3865" w:rsidRPr="00CC3865">
        <w:rPr>
          <w:rFonts w:ascii="Calibri" w:hAnsi="Calibri"/>
          <w:sz w:val="22"/>
          <w:szCs w:val="22"/>
          <w:u w:val="single"/>
        </w:rPr>
        <w:fldChar w:fldCharType="begin">
          <w:ffData>
            <w:name w:val=""/>
            <w:enabled/>
            <w:calcOnExit w:val="0"/>
            <w:textInput/>
          </w:ffData>
        </w:fldChar>
      </w:r>
      <w:r w:rsidR="00CC3865" w:rsidRPr="00CC3865">
        <w:rPr>
          <w:rFonts w:ascii="Calibri" w:hAnsi="Calibri"/>
          <w:sz w:val="22"/>
          <w:szCs w:val="22"/>
          <w:u w:val="single"/>
        </w:rPr>
        <w:instrText xml:space="preserve"> FORMTEXT </w:instrText>
      </w:r>
      <w:r w:rsidR="00CC3865" w:rsidRPr="00CC3865">
        <w:rPr>
          <w:rFonts w:ascii="Calibri" w:hAnsi="Calibri"/>
          <w:sz w:val="22"/>
          <w:szCs w:val="22"/>
          <w:u w:val="single"/>
        </w:rPr>
      </w:r>
      <w:r w:rsidR="00CC3865" w:rsidRPr="00CC3865">
        <w:rPr>
          <w:rFonts w:ascii="Calibri" w:hAnsi="Calibri"/>
          <w:sz w:val="22"/>
          <w:szCs w:val="22"/>
          <w:u w:val="single"/>
        </w:rPr>
        <w:fldChar w:fldCharType="separate"/>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sz w:val="22"/>
          <w:szCs w:val="22"/>
          <w:u w:val="single"/>
        </w:rPr>
        <w:fldChar w:fldCharType="end"/>
      </w:r>
    </w:p>
    <w:p w14:paraId="29FE0CC8" w14:textId="77777777" w:rsidR="00F3542F" w:rsidRPr="00F644DF" w:rsidRDefault="001F3384" w:rsidP="00CC3865">
      <w:pPr>
        <w:tabs>
          <w:tab w:val="left" w:pos="720"/>
          <w:tab w:val="left" w:pos="3420"/>
          <w:tab w:val="left" w:pos="5760"/>
        </w:tabs>
        <w:spacing w:before="120"/>
        <w:ind w:firstLine="720"/>
        <w:rPr>
          <w:rFonts w:asciiTheme="minorHAnsi" w:hAnsiTheme="minorHAnsi"/>
          <w:color w:val="000000" w:themeColor="text1"/>
          <w:sz w:val="22"/>
          <w:szCs w:val="22"/>
          <w:u w:val="single"/>
        </w:rPr>
      </w:pPr>
      <w:r w:rsidRPr="00F644DF">
        <w:rPr>
          <w:rFonts w:asciiTheme="minorHAnsi" w:hAnsiTheme="minorHAnsi"/>
          <w:color w:val="000000" w:themeColor="text1"/>
          <w:sz w:val="22"/>
          <w:szCs w:val="22"/>
        </w:rPr>
        <w:t>Less Vacancy Rate of:</w:t>
      </w:r>
      <w:r w:rsidR="005D25F6" w:rsidRPr="00F644DF">
        <w:rPr>
          <w:rFonts w:ascii="Calibri" w:hAnsi="Calibri"/>
          <w:color w:val="000000" w:themeColor="text1"/>
          <w:sz w:val="22"/>
          <w:szCs w:val="22"/>
        </w:rPr>
        <w:t xml:space="preserve"> </w:t>
      </w:r>
      <w:r w:rsidR="00CC3865">
        <w:rPr>
          <w:rFonts w:ascii="Calibri" w:hAnsi="Calibri"/>
          <w:color w:val="000000" w:themeColor="text1"/>
          <w:sz w:val="22"/>
          <w:szCs w:val="22"/>
        </w:rPr>
        <w:t xml:space="preserve">  </w:t>
      </w:r>
      <w:r w:rsidR="00CC3865" w:rsidRPr="00CC3865">
        <w:rPr>
          <w:rFonts w:ascii="Calibri" w:hAnsi="Calibri"/>
          <w:sz w:val="22"/>
          <w:szCs w:val="22"/>
          <w:u w:val="single"/>
        </w:rPr>
        <w:fldChar w:fldCharType="begin">
          <w:ffData>
            <w:name w:val=""/>
            <w:enabled/>
            <w:calcOnExit w:val="0"/>
            <w:textInput/>
          </w:ffData>
        </w:fldChar>
      </w:r>
      <w:r w:rsidR="00CC3865" w:rsidRPr="00CC3865">
        <w:rPr>
          <w:rFonts w:ascii="Calibri" w:hAnsi="Calibri"/>
          <w:sz w:val="22"/>
          <w:szCs w:val="22"/>
          <w:u w:val="single"/>
        </w:rPr>
        <w:instrText xml:space="preserve"> FORMTEXT </w:instrText>
      </w:r>
      <w:r w:rsidR="00CC3865" w:rsidRPr="00CC3865">
        <w:rPr>
          <w:rFonts w:ascii="Calibri" w:hAnsi="Calibri"/>
          <w:sz w:val="22"/>
          <w:szCs w:val="22"/>
          <w:u w:val="single"/>
        </w:rPr>
      </w:r>
      <w:r w:rsidR="00CC3865" w:rsidRPr="00CC3865">
        <w:rPr>
          <w:rFonts w:ascii="Calibri" w:hAnsi="Calibri"/>
          <w:sz w:val="22"/>
          <w:szCs w:val="22"/>
          <w:u w:val="single"/>
        </w:rPr>
        <w:fldChar w:fldCharType="separate"/>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sz w:val="22"/>
          <w:szCs w:val="22"/>
          <w:u w:val="single"/>
        </w:rPr>
        <w:fldChar w:fldCharType="end"/>
      </w:r>
      <w:r w:rsidR="004A0EC3" w:rsidRPr="00F644DF">
        <w:rPr>
          <w:rFonts w:asciiTheme="minorHAnsi" w:hAnsiTheme="minorHAnsi"/>
          <w:color w:val="000000" w:themeColor="text1"/>
          <w:sz w:val="22"/>
          <w:szCs w:val="22"/>
        </w:rPr>
        <w:tab/>
      </w:r>
      <w:r w:rsidR="00342073" w:rsidRPr="00F644DF">
        <w:rPr>
          <w:rFonts w:asciiTheme="minorHAnsi" w:hAnsiTheme="minorHAnsi"/>
          <w:color w:val="000000" w:themeColor="text1"/>
          <w:sz w:val="22"/>
          <w:szCs w:val="22"/>
        </w:rPr>
        <w:tab/>
      </w:r>
      <w:r w:rsidR="00F3542F" w:rsidRPr="00F644DF">
        <w:rPr>
          <w:rFonts w:asciiTheme="minorHAnsi" w:hAnsiTheme="minorHAnsi"/>
          <w:color w:val="000000" w:themeColor="text1"/>
          <w:sz w:val="22"/>
          <w:szCs w:val="22"/>
        </w:rPr>
        <w:t>$</w:t>
      </w:r>
      <w:r w:rsidR="00CC3865" w:rsidRPr="00CC3865">
        <w:rPr>
          <w:rFonts w:ascii="Calibri" w:hAnsi="Calibri"/>
          <w:sz w:val="22"/>
          <w:szCs w:val="22"/>
          <w:u w:val="single"/>
        </w:rPr>
        <w:fldChar w:fldCharType="begin">
          <w:ffData>
            <w:name w:val=""/>
            <w:enabled/>
            <w:calcOnExit w:val="0"/>
            <w:textInput/>
          </w:ffData>
        </w:fldChar>
      </w:r>
      <w:r w:rsidR="00CC3865" w:rsidRPr="00CC3865">
        <w:rPr>
          <w:rFonts w:ascii="Calibri" w:hAnsi="Calibri"/>
          <w:sz w:val="22"/>
          <w:szCs w:val="22"/>
          <w:u w:val="single"/>
        </w:rPr>
        <w:instrText xml:space="preserve"> FORMTEXT </w:instrText>
      </w:r>
      <w:r w:rsidR="00CC3865" w:rsidRPr="00CC3865">
        <w:rPr>
          <w:rFonts w:ascii="Calibri" w:hAnsi="Calibri"/>
          <w:sz w:val="22"/>
          <w:szCs w:val="22"/>
          <w:u w:val="single"/>
        </w:rPr>
      </w:r>
      <w:r w:rsidR="00CC3865" w:rsidRPr="00CC3865">
        <w:rPr>
          <w:rFonts w:ascii="Calibri" w:hAnsi="Calibri"/>
          <w:sz w:val="22"/>
          <w:szCs w:val="22"/>
          <w:u w:val="single"/>
        </w:rPr>
        <w:fldChar w:fldCharType="separate"/>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sz w:val="22"/>
          <w:szCs w:val="22"/>
          <w:u w:val="single"/>
        </w:rPr>
        <w:fldChar w:fldCharType="end"/>
      </w:r>
    </w:p>
    <w:p w14:paraId="123D2150" w14:textId="77777777" w:rsidR="00DA2BB3" w:rsidRPr="00F644DF" w:rsidRDefault="007D612E" w:rsidP="00CC3865">
      <w:pPr>
        <w:tabs>
          <w:tab w:val="left" w:pos="720"/>
          <w:tab w:val="left" w:pos="3420"/>
          <w:tab w:val="left" w:pos="5760"/>
        </w:tabs>
        <w:spacing w:before="120"/>
        <w:ind w:firstLine="720"/>
        <w:rPr>
          <w:rFonts w:asciiTheme="minorHAnsi" w:hAnsiTheme="minorHAnsi"/>
          <w:color w:val="000000" w:themeColor="text1"/>
          <w:sz w:val="22"/>
          <w:szCs w:val="22"/>
        </w:rPr>
      </w:pPr>
      <w:r w:rsidRPr="00F644DF">
        <w:rPr>
          <w:rFonts w:asciiTheme="minorHAnsi" w:hAnsiTheme="minorHAnsi"/>
          <w:color w:val="000000" w:themeColor="text1"/>
          <w:sz w:val="22"/>
          <w:szCs w:val="22"/>
        </w:rPr>
        <w:t xml:space="preserve">Annual </w:t>
      </w:r>
      <w:r w:rsidR="00DA2BB3" w:rsidRPr="00F644DF">
        <w:rPr>
          <w:rFonts w:asciiTheme="minorHAnsi" w:hAnsiTheme="minorHAnsi"/>
          <w:color w:val="000000" w:themeColor="text1"/>
          <w:sz w:val="22"/>
          <w:szCs w:val="22"/>
        </w:rPr>
        <w:t>Other Income</w:t>
      </w:r>
      <w:r w:rsidR="00DA2BB3" w:rsidRPr="00F644DF">
        <w:rPr>
          <w:rFonts w:asciiTheme="minorHAnsi" w:hAnsiTheme="minorHAnsi"/>
          <w:color w:val="000000" w:themeColor="text1"/>
          <w:sz w:val="22"/>
          <w:szCs w:val="22"/>
        </w:rPr>
        <w:tab/>
      </w:r>
      <w:r w:rsidR="00DA2BB3" w:rsidRPr="00F644DF">
        <w:rPr>
          <w:rFonts w:asciiTheme="minorHAnsi" w:hAnsiTheme="minorHAnsi"/>
          <w:color w:val="000000" w:themeColor="text1"/>
          <w:sz w:val="22"/>
          <w:szCs w:val="22"/>
        </w:rPr>
        <w:tab/>
        <w:t>$</w:t>
      </w:r>
      <w:r w:rsidR="00CC3865" w:rsidRPr="00CC3865">
        <w:rPr>
          <w:rFonts w:ascii="Calibri" w:hAnsi="Calibri"/>
          <w:sz w:val="22"/>
          <w:szCs w:val="22"/>
          <w:u w:val="single"/>
        </w:rPr>
        <w:fldChar w:fldCharType="begin">
          <w:ffData>
            <w:name w:val=""/>
            <w:enabled/>
            <w:calcOnExit w:val="0"/>
            <w:textInput/>
          </w:ffData>
        </w:fldChar>
      </w:r>
      <w:r w:rsidR="00CC3865" w:rsidRPr="00CC3865">
        <w:rPr>
          <w:rFonts w:ascii="Calibri" w:hAnsi="Calibri"/>
          <w:sz w:val="22"/>
          <w:szCs w:val="22"/>
          <w:u w:val="single"/>
        </w:rPr>
        <w:instrText xml:space="preserve"> FORMTEXT </w:instrText>
      </w:r>
      <w:r w:rsidR="00CC3865" w:rsidRPr="00CC3865">
        <w:rPr>
          <w:rFonts w:ascii="Calibri" w:hAnsi="Calibri"/>
          <w:sz w:val="22"/>
          <w:szCs w:val="22"/>
          <w:u w:val="single"/>
        </w:rPr>
      </w:r>
      <w:r w:rsidR="00CC3865" w:rsidRPr="00CC3865">
        <w:rPr>
          <w:rFonts w:ascii="Calibri" w:hAnsi="Calibri"/>
          <w:sz w:val="22"/>
          <w:szCs w:val="22"/>
          <w:u w:val="single"/>
        </w:rPr>
        <w:fldChar w:fldCharType="separate"/>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sz w:val="22"/>
          <w:szCs w:val="22"/>
          <w:u w:val="single"/>
        </w:rPr>
        <w:fldChar w:fldCharType="end"/>
      </w:r>
    </w:p>
    <w:p w14:paraId="4E33A692" w14:textId="77777777" w:rsidR="00F3542F" w:rsidRDefault="00F3542F" w:rsidP="00CC3865">
      <w:pPr>
        <w:tabs>
          <w:tab w:val="left" w:pos="720"/>
          <w:tab w:val="left" w:pos="5760"/>
        </w:tabs>
        <w:spacing w:before="120"/>
        <w:rPr>
          <w:rFonts w:asciiTheme="minorHAnsi" w:hAnsiTheme="minorHAnsi"/>
          <w:color w:val="000000" w:themeColor="text1"/>
          <w:sz w:val="22"/>
          <w:szCs w:val="22"/>
        </w:rPr>
      </w:pPr>
      <w:r w:rsidRPr="00F644DF">
        <w:rPr>
          <w:rFonts w:asciiTheme="minorHAnsi" w:hAnsiTheme="minorHAnsi"/>
          <w:color w:val="000000" w:themeColor="text1"/>
          <w:sz w:val="22"/>
          <w:szCs w:val="22"/>
        </w:rPr>
        <w:t xml:space="preserve">Less </w:t>
      </w:r>
      <w:r w:rsidR="00C764DA" w:rsidRPr="00F644DF">
        <w:rPr>
          <w:rFonts w:asciiTheme="minorHAnsi" w:hAnsiTheme="minorHAnsi"/>
          <w:color w:val="000000" w:themeColor="text1"/>
          <w:sz w:val="22"/>
          <w:szCs w:val="22"/>
        </w:rPr>
        <w:t xml:space="preserve">Management </w:t>
      </w:r>
      <w:r w:rsidR="00342073" w:rsidRPr="00F644DF">
        <w:rPr>
          <w:rFonts w:asciiTheme="minorHAnsi" w:hAnsiTheme="minorHAnsi"/>
          <w:color w:val="000000" w:themeColor="text1"/>
          <w:sz w:val="22"/>
          <w:szCs w:val="22"/>
        </w:rPr>
        <w:t xml:space="preserve">and </w:t>
      </w:r>
      <w:r w:rsidR="001F3384" w:rsidRPr="00F644DF">
        <w:rPr>
          <w:rFonts w:asciiTheme="minorHAnsi" w:hAnsiTheme="minorHAnsi"/>
          <w:color w:val="000000" w:themeColor="text1"/>
          <w:sz w:val="22"/>
          <w:szCs w:val="22"/>
        </w:rPr>
        <w:t>Operating Expenses:</w:t>
      </w:r>
    </w:p>
    <w:p w14:paraId="2E8A04D5" w14:textId="77777777" w:rsidR="00CC3865" w:rsidRPr="00F644DF" w:rsidRDefault="00CC3865" w:rsidP="00CC3865">
      <w:pPr>
        <w:tabs>
          <w:tab w:val="left" w:pos="720"/>
          <w:tab w:val="left" w:pos="5760"/>
        </w:tabs>
        <w:spacing w:before="120"/>
        <w:ind w:left="720"/>
        <w:rPr>
          <w:rFonts w:asciiTheme="minorHAnsi" w:hAnsiTheme="minorHAnsi"/>
          <w:color w:val="000000" w:themeColor="text1"/>
          <w:sz w:val="22"/>
          <w:szCs w:val="22"/>
          <w:u w:val="single"/>
        </w:rPr>
      </w:pPr>
      <w:r>
        <w:rPr>
          <w:rFonts w:asciiTheme="minorHAnsi" w:hAnsiTheme="minorHAnsi"/>
          <w:color w:val="000000" w:themeColor="text1"/>
          <w:sz w:val="22"/>
          <w:szCs w:val="22"/>
        </w:rPr>
        <w:t xml:space="preserve">M&amp;O Expenses per </w:t>
      </w:r>
      <w:r w:rsidR="00DF7C41">
        <w:rPr>
          <w:rFonts w:asciiTheme="minorHAnsi" w:hAnsiTheme="minorHAnsi"/>
          <w:color w:val="000000" w:themeColor="text1"/>
          <w:sz w:val="22"/>
          <w:szCs w:val="22"/>
        </w:rPr>
        <w:t>Unit</w:t>
      </w:r>
      <w:r>
        <w:rPr>
          <w:rFonts w:asciiTheme="minorHAnsi" w:hAnsiTheme="minorHAnsi"/>
          <w:color w:val="000000" w:themeColor="text1"/>
          <w:sz w:val="22"/>
          <w:szCs w:val="22"/>
        </w:rPr>
        <w:t>/</w:t>
      </w:r>
      <w:r w:rsidR="00DF7C41">
        <w:rPr>
          <w:rFonts w:asciiTheme="minorHAnsi" w:hAnsiTheme="minorHAnsi"/>
          <w:color w:val="000000" w:themeColor="text1"/>
          <w:sz w:val="22"/>
          <w:szCs w:val="22"/>
        </w:rPr>
        <w:t>Yr</w:t>
      </w:r>
      <w:r>
        <w:rPr>
          <w:rFonts w:asciiTheme="minorHAnsi" w:hAnsiTheme="minorHAnsi"/>
          <w:color w:val="000000" w:themeColor="text1"/>
          <w:sz w:val="22"/>
          <w:szCs w:val="22"/>
        </w:rPr>
        <w:tab/>
        <w:t>$</w:t>
      </w:r>
      <w:r w:rsidRPr="00CC3865">
        <w:rPr>
          <w:rFonts w:ascii="Calibri" w:hAnsi="Calibri"/>
          <w:sz w:val="22"/>
          <w:szCs w:val="22"/>
          <w:u w:val="single"/>
        </w:rPr>
        <w:fldChar w:fldCharType="begin">
          <w:ffData>
            <w:name w:val=""/>
            <w:enabled/>
            <w:calcOnExit w:val="0"/>
            <w:textInput/>
          </w:ffData>
        </w:fldChar>
      </w:r>
      <w:r w:rsidRPr="00CC3865">
        <w:rPr>
          <w:rFonts w:ascii="Calibri" w:hAnsi="Calibri"/>
          <w:sz w:val="22"/>
          <w:szCs w:val="22"/>
          <w:u w:val="single"/>
        </w:rPr>
        <w:instrText xml:space="preserve"> FORMTEXT </w:instrText>
      </w:r>
      <w:r w:rsidRPr="00CC3865">
        <w:rPr>
          <w:rFonts w:ascii="Calibri" w:hAnsi="Calibri"/>
          <w:sz w:val="22"/>
          <w:szCs w:val="22"/>
          <w:u w:val="single"/>
        </w:rPr>
      </w:r>
      <w:r w:rsidRPr="00CC3865">
        <w:rPr>
          <w:rFonts w:ascii="Calibri" w:hAnsi="Calibri"/>
          <w:sz w:val="22"/>
          <w:szCs w:val="22"/>
          <w:u w:val="single"/>
        </w:rPr>
        <w:fldChar w:fldCharType="separate"/>
      </w:r>
      <w:r w:rsidRPr="00CC3865">
        <w:rPr>
          <w:rFonts w:ascii="Calibri" w:hAnsi="Calibri" w:cs="Arial Unicode MS"/>
          <w:noProof/>
          <w:sz w:val="22"/>
          <w:szCs w:val="22"/>
          <w:u w:val="single"/>
        </w:rPr>
        <w:t> </w:t>
      </w:r>
      <w:r w:rsidRPr="00CC3865">
        <w:rPr>
          <w:rFonts w:ascii="Calibri" w:hAnsi="Calibri" w:cs="Arial Unicode MS"/>
          <w:noProof/>
          <w:sz w:val="22"/>
          <w:szCs w:val="22"/>
          <w:u w:val="single"/>
        </w:rPr>
        <w:t> </w:t>
      </w:r>
      <w:r w:rsidRPr="00CC3865">
        <w:rPr>
          <w:rFonts w:ascii="Calibri" w:hAnsi="Calibri" w:cs="Arial Unicode MS"/>
          <w:noProof/>
          <w:sz w:val="22"/>
          <w:szCs w:val="22"/>
          <w:u w:val="single"/>
        </w:rPr>
        <w:t> </w:t>
      </w:r>
      <w:r w:rsidRPr="00CC3865">
        <w:rPr>
          <w:rFonts w:ascii="Calibri" w:hAnsi="Calibri" w:cs="Arial Unicode MS"/>
          <w:noProof/>
          <w:sz w:val="22"/>
          <w:szCs w:val="22"/>
          <w:u w:val="single"/>
        </w:rPr>
        <w:t> </w:t>
      </w:r>
      <w:r w:rsidRPr="00CC3865">
        <w:rPr>
          <w:rFonts w:ascii="Calibri" w:hAnsi="Calibri" w:cs="Arial Unicode MS"/>
          <w:noProof/>
          <w:sz w:val="22"/>
          <w:szCs w:val="22"/>
          <w:u w:val="single"/>
        </w:rPr>
        <w:t> </w:t>
      </w:r>
      <w:r w:rsidRPr="00CC3865">
        <w:rPr>
          <w:rFonts w:ascii="Calibri" w:hAnsi="Calibri"/>
          <w:sz w:val="22"/>
          <w:szCs w:val="22"/>
          <w:u w:val="single"/>
        </w:rPr>
        <w:fldChar w:fldCharType="end"/>
      </w:r>
    </w:p>
    <w:p w14:paraId="7FE83864" w14:textId="77777777" w:rsidR="00F3542F" w:rsidRPr="00F644DF" w:rsidRDefault="00F3542F" w:rsidP="00CC3865">
      <w:pPr>
        <w:tabs>
          <w:tab w:val="left" w:pos="720"/>
          <w:tab w:val="left" w:pos="5760"/>
        </w:tabs>
        <w:spacing w:before="120"/>
        <w:ind w:firstLine="720"/>
        <w:rPr>
          <w:rFonts w:asciiTheme="minorHAnsi" w:hAnsiTheme="minorHAnsi"/>
          <w:color w:val="000000" w:themeColor="text1"/>
          <w:sz w:val="22"/>
          <w:szCs w:val="22"/>
        </w:rPr>
      </w:pPr>
      <w:r w:rsidRPr="00F644DF">
        <w:rPr>
          <w:rFonts w:asciiTheme="minorHAnsi" w:hAnsiTheme="minorHAnsi"/>
          <w:color w:val="000000" w:themeColor="text1"/>
          <w:sz w:val="22"/>
          <w:szCs w:val="22"/>
        </w:rPr>
        <w:t xml:space="preserve">Total </w:t>
      </w:r>
      <w:r w:rsidR="001F3384" w:rsidRPr="00F644DF">
        <w:rPr>
          <w:rFonts w:asciiTheme="minorHAnsi" w:hAnsiTheme="minorHAnsi"/>
          <w:color w:val="000000" w:themeColor="text1"/>
          <w:sz w:val="22"/>
          <w:szCs w:val="22"/>
        </w:rPr>
        <w:t xml:space="preserve">M&amp;O Expenses for all </w:t>
      </w:r>
      <w:r w:rsidR="00DF7C41">
        <w:rPr>
          <w:rFonts w:asciiTheme="minorHAnsi" w:hAnsiTheme="minorHAnsi"/>
          <w:color w:val="000000" w:themeColor="text1"/>
          <w:sz w:val="22"/>
          <w:szCs w:val="22"/>
        </w:rPr>
        <w:t>U</w:t>
      </w:r>
      <w:r w:rsidR="00DF7C41" w:rsidRPr="00F644DF">
        <w:rPr>
          <w:rFonts w:asciiTheme="minorHAnsi" w:hAnsiTheme="minorHAnsi"/>
          <w:color w:val="000000" w:themeColor="text1"/>
          <w:sz w:val="22"/>
          <w:szCs w:val="22"/>
        </w:rPr>
        <w:t>nits</w:t>
      </w:r>
      <w:r w:rsidR="001F3384" w:rsidRPr="00F644DF">
        <w:rPr>
          <w:rFonts w:asciiTheme="minorHAnsi" w:hAnsiTheme="minorHAnsi"/>
          <w:color w:val="000000" w:themeColor="text1"/>
          <w:sz w:val="22"/>
          <w:szCs w:val="22"/>
        </w:rPr>
        <w:t>/</w:t>
      </w:r>
      <w:r w:rsidR="00DF7C41">
        <w:rPr>
          <w:rFonts w:asciiTheme="minorHAnsi" w:hAnsiTheme="minorHAnsi"/>
          <w:color w:val="000000" w:themeColor="text1"/>
          <w:sz w:val="22"/>
          <w:szCs w:val="22"/>
        </w:rPr>
        <w:t>Y</w:t>
      </w:r>
      <w:r w:rsidR="00DF7C41" w:rsidRPr="00F644DF">
        <w:rPr>
          <w:rFonts w:asciiTheme="minorHAnsi" w:hAnsiTheme="minorHAnsi"/>
          <w:color w:val="000000" w:themeColor="text1"/>
          <w:sz w:val="22"/>
          <w:szCs w:val="22"/>
        </w:rPr>
        <w:t>r</w:t>
      </w:r>
      <w:r w:rsidR="001F3384" w:rsidRPr="00F644DF">
        <w:rPr>
          <w:rFonts w:asciiTheme="minorHAnsi" w:hAnsiTheme="minorHAnsi"/>
          <w:color w:val="000000" w:themeColor="text1"/>
          <w:sz w:val="22"/>
          <w:szCs w:val="22"/>
        </w:rPr>
        <w:tab/>
      </w:r>
      <w:r w:rsidRPr="00F644DF">
        <w:rPr>
          <w:rFonts w:asciiTheme="minorHAnsi" w:hAnsiTheme="minorHAnsi"/>
          <w:color w:val="000000" w:themeColor="text1"/>
          <w:sz w:val="22"/>
          <w:szCs w:val="22"/>
        </w:rPr>
        <w:t>$</w:t>
      </w:r>
      <w:r w:rsidR="00CC3865" w:rsidRPr="00CC3865">
        <w:rPr>
          <w:rFonts w:ascii="Calibri" w:hAnsi="Calibri"/>
          <w:sz w:val="22"/>
          <w:szCs w:val="22"/>
          <w:u w:val="single"/>
        </w:rPr>
        <w:fldChar w:fldCharType="begin">
          <w:ffData>
            <w:name w:val=""/>
            <w:enabled/>
            <w:calcOnExit w:val="0"/>
            <w:textInput/>
          </w:ffData>
        </w:fldChar>
      </w:r>
      <w:r w:rsidR="00CC3865" w:rsidRPr="00CC3865">
        <w:rPr>
          <w:rFonts w:ascii="Calibri" w:hAnsi="Calibri"/>
          <w:sz w:val="22"/>
          <w:szCs w:val="22"/>
          <w:u w:val="single"/>
        </w:rPr>
        <w:instrText xml:space="preserve"> FORMTEXT </w:instrText>
      </w:r>
      <w:r w:rsidR="00CC3865" w:rsidRPr="00CC3865">
        <w:rPr>
          <w:rFonts w:ascii="Calibri" w:hAnsi="Calibri"/>
          <w:sz w:val="22"/>
          <w:szCs w:val="22"/>
          <w:u w:val="single"/>
        </w:rPr>
      </w:r>
      <w:r w:rsidR="00CC3865" w:rsidRPr="00CC3865">
        <w:rPr>
          <w:rFonts w:ascii="Calibri" w:hAnsi="Calibri"/>
          <w:sz w:val="22"/>
          <w:szCs w:val="22"/>
          <w:u w:val="single"/>
        </w:rPr>
        <w:fldChar w:fldCharType="separate"/>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sz w:val="22"/>
          <w:szCs w:val="22"/>
          <w:u w:val="single"/>
        </w:rPr>
        <w:fldChar w:fldCharType="end"/>
      </w:r>
    </w:p>
    <w:p w14:paraId="0AC84C71" w14:textId="77777777" w:rsidR="00F3542F" w:rsidRPr="00F644DF" w:rsidRDefault="001F3384" w:rsidP="00CC3865">
      <w:pPr>
        <w:tabs>
          <w:tab w:val="left" w:pos="720"/>
          <w:tab w:val="left" w:pos="5760"/>
        </w:tabs>
        <w:spacing w:before="120"/>
        <w:rPr>
          <w:rFonts w:asciiTheme="minorHAnsi" w:hAnsiTheme="minorHAnsi"/>
          <w:color w:val="000000" w:themeColor="text1"/>
          <w:sz w:val="22"/>
          <w:szCs w:val="22"/>
          <w:u w:val="single"/>
        </w:rPr>
      </w:pPr>
      <w:r w:rsidRPr="00F644DF">
        <w:rPr>
          <w:rFonts w:asciiTheme="minorHAnsi" w:hAnsiTheme="minorHAnsi"/>
          <w:color w:val="000000" w:themeColor="text1"/>
          <w:sz w:val="22"/>
          <w:szCs w:val="22"/>
        </w:rPr>
        <w:t>Less Real Estate Tax</w:t>
      </w:r>
      <w:r w:rsidRPr="00F644DF">
        <w:rPr>
          <w:rFonts w:asciiTheme="minorHAnsi" w:hAnsiTheme="minorHAnsi"/>
          <w:color w:val="000000" w:themeColor="text1"/>
          <w:sz w:val="22"/>
          <w:szCs w:val="22"/>
        </w:rPr>
        <w:tab/>
      </w:r>
      <w:r w:rsidR="00F3542F" w:rsidRPr="00F644DF">
        <w:rPr>
          <w:rFonts w:asciiTheme="minorHAnsi" w:hAnsiTheme="minorHAnsi"/>
          <w:color w:val="000000" w:themeColor="text1"/>
          <w:sz w:val="22"/>
          <w:szCs w:val="22"/>
        </w:rPr>
        <w:t>$</w:t>
      </w:r>
      <w:r w:rsidR="00CC3865" w:rsidRPr="00CC3865">
        <w:rPr>
          <w:rFonts w:ascii="Calibri" w:hAnsi="Calibri"/>
          <w:sz w:val="22"/>
          <w:szCs w:val="22"/>
          <w:u w:val="single"/>
        </w:rPr>
        <w:fldChar w:fldCharType="begin">
          <w:ffData>
            <w:name w:val=""/>
            <w:enabled/>
            <w:calcOnExit w:val="0"/>
            <w:textInput/>
          </w:ffData>
        </w:fldChar>
      </w:r>
      <w:r w:rsidR="00CC3865" w:rsidRPr="00CC3865">
        <w:rPr>
          <w:rFonts w:ascii="Calibri" w:hAnsi="Calibri"/>
          <w:sz w:val="22"/>
          <w:szCs w:val="22"/>
          <w:u w:val="single"/>
        </w:rPr>
        <w:instrText xml:space="preserve"> FORMTEXT </w:instrText>
      </w:r>
      <w:r w:rsidR="00CC3865" w:rsidRPr="00CC3865">
        <w:rPr>
          <w:rFonts w:ascii="Calibri" w:hAnsi="Calibri"/>
          <w:sz w:val="22"/>
          <w:szCs w:val="22"/>
          <w:u w:val="single"/>
        </w:rPr>
      </w:r>
      <w:r w:rsidR="00CC3865" w:rsidRPr="00CC3865">
        <w:rPr>
          <w:rFonts w:ascii="Calibri" w:hAnsi="Calibri"/>
          <w:sz w:val="22"/>
          <w:szCs w:val="22"/>
          <w:u w:val="single"/>
        </w:rPr>
        <w:fldChar w:fldCharType="separate"/>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sz w:val="22"/>
          <w:szCs w:val="22"/>
          <w:u w:val="single"/>
        </w:rPr>
        <w:fldChar w:fldCharType="end"/>
      </w:r>
    </w:p>
    <w:p w14:paraId="4129451F" w14:textId="77777777" w:rsidR="00F3542F" w:rsidRPr="00F644DF" w:rsidRDefault="00F3542F" w:rsidP="00CC3865">
      <w:pPr>
        <w:tabs>
          <w:tab w:val="left" w:pos="720"/>
          <w:tab w:val="left" w:pos="5760"/>
        </w:tabs>
        <w:spacing w:before="120"/>
        <w:rPr>
          <w:rFonts w:asciiTheme="minorHAnsi" w:hAnsiTheme="minorHAnsi"/>
          <w:color w:val="000000" w:themeColor="text1"/>
          <w:sz w:val="22"/>
          <w:szCs w:val="22"/>
          <w:u w:val="single"/>
        </w:rPr>
      </w:pPr>
      <w:r w:rsidRPr="00F644DF">
        <w:rPr>
          <w:rFonts w:asciiTheme="minorHAnsi" w:hAnsiTheme="minorHAnsi"/>
          <w:color w:val="000000" w:themeColor="text1"/>
          <w:sz w:val="22"/>
          <w:szCs w:val="22"/>
        </w:rPr>
        <w:t xml:space="preserve">Less Replacement </w:t>
      </w:r>
      <w:r w:rsidR="005D25F6" w:rsidRPr="00F644DF">
        <w:rPr>
          <w:rFonts w:asciiTheme="minorHAnsi" w:hAnsiTheme="minorHAnsi"/>
          <w:color w:val="000000" w:themeColor="text1"/>
          <w:sz w:val="22"/>
          <w:szCs w:val="22"/>
        </w:rPr>
        <w:t>and</w:t>
      </w:r>
      <w:r w:rsidRPr="00F644DF">
        <w:rPr>
          <w:rFonts w:asciiTheme="minorHAnsi" w:hAnsiTheme="minorHAnsi"/>
          <w:color w:val="000000" w:themeColor="text1"/>
          <w:sz w:val="22"/>
          <w:szCs w:val="22"/>
        </w:rPr>
        <w:t xml:space="preserve"> Decorating Reserves</w:t>
      </w:r>
      <w:r w:rsidRPr="00F644DF">
        <w:rPr>
          <w:rFonts w:asciiTheme="minorHAnsi" w:hAnsiTheme="minorHAnsi"/>
          <w:color w:val="000000" w:themeColor="text1"/>
          <w:sz w:val="22"/>
          <w:szCs w:val="22"/>
        </w:rPr>
        <w:tab/>
        <w:t>$</w:t>
      </w:r>
      <w:r w:rsidR="00CC3865" w:rsidRPr="00CC3865">
        <w:rPr>
          <w:rFonts w:ascii="Calibri" w:hAnsi="Calibri"/>
          <w:sz w:val="22"/>
          <w:szCs w:val="22"/>
          <w:u w:val="single"/>
        </w:rPr>
        <w:fldChar w:fldCharType="begin">
          <w:ffData>
            <w:name w:val=""/>
            <w:enabled/>
            <w:calcOnExit w:val="0"/>
            <w:textInput/>
          </w:ffData>
        </w:fldChar>
      </w:r>
      <w:r w:rsidR="00CC3865" w:rsidRPr="00CC3865">
        <w:rPr>
          <w:rFonts w:ascii="Calibri" w:hAnsi="Calibri"/>
          <w:sz w:val="22"/>
          <w:szCs w:val="22"/>
          <w:u w:val="single"/>
        </w:rPr>
        <w:instrText xml:space="preserve"> FORMTEXT </w:instrText>
      </w:r>
      <w:r w:rsidR="00CC3865" w:rsidRPr="00CC3865">
        <w:rPr>
          <w:rFonts w:ascii="Calibri" w:hAnsi="Calibri"/>
          <w:sz w:val="22"/>
          <w:szCs w:val="22"/>
          <w:u w:val="single"/>
        </w:rPr>
      </w:r>
      <w:r w:rsidR="00CC3865" w:rsidRPr="00CC3865">
        <w:rPr>
          <w:rFonts w:ascii="Calibri" w:hAnsi="Calibri"/>
          <w:sz w:val="22"/>
          <w:szCs w:val="22"/>
          <w:u w:val="single"/>
        </w:rPr>
        <w:fldChar w:fldCharType="separate"/>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sz w:val="22"/>
          <w:szCs w:val="22"/>
          <w:u w:val="single"/>
        </w:rPr>
        <w:fldChar w:fldCharType="end"/>
      </w:r>
    </w:p>
    <w:p w14:paraId="674D8755" w14:textId="77777777" w:rsidR="00F3542F" w:rsidRPr="00F644DF" w:rsidRDefault="00F3542F" w:rsidP="00CC3865">
      <w:pPr>
        <w:tabs>
          <w:tab w:val="left" w:pos="720"/>
          <w:tab w:val="left" w:pos="5760"/>
        </w:tabs>
        <w:spacing w:before="120"/>
        <w:ind w:firstLine="720"/>
        <w:rPr>
          <w:rFonts w:asciiTheme="minorHAnsi" w:hAnsiTheme="minorHAnsi"/>
          <w:color w:val="000000" w:themeColor="text1"/>
          <w:sz w:val="22"/>
          <w:szCs w:val="22"/>
        </w:rPr>
      </w:pPr>
      <w:r w:rsidRPr="00F644DF">
        <w:rPr>
          <w:rFonts w:asciiTheme="minorHAnsi" w:hAnsiTheme="minorHAnsi"/>
          <w:color w:val="000000" w:themeColor="text1"/>
          <w:sz w:val="22"/>
          <w:szCs w:val="22"/>
        </w:rPr>
        <w:t>($</w:t>
      </w:r>
      <w:r w:rsidR="004B4798" w:rsidRPr="00F644DF">
        <w:rPr>
          <w:rFonts w:asciiTheme="minorHAnsi" w:hAnsiTheme="minorHAnsi"/>
          <w:color w:val="000000" w:themeColor="text1"/>
          <w:sz w:val="22"/>
          <w:szCs w:val="22"/>
        </w:rPr>
        <w:t>300 per unit senior/$450 per unit family</w:t>
      </w:r>
      <w:r w:rsidR="0011444B" w:rsidRPr="00F644DF">
        <w:rPr>
          <w:rFonts w:asciiTheme="minorHAnsi" w:hAnsiTheme="minorHAnsi"/>
          <w:color w:val="000000" w:themeColor="text1"/>
          <w:sz w:val="22"/>
          <w:szCs w:val="22"/>
        </w:rPr>
        <w:t xml:space="preserve"> </w:t>
      </w:r>
      <w:r w:rsidR="00342073" w:rsidRPr="00F644DF">
        <w:rPr>
          <w:rFonts w:asciiTheme="minorHAnsi" w:hAnsiTheme="minorHAnsi"/>
          <w:color w:val="000000" w:themeColor="text1"/>
          <w:sz w:val="22"/>
          <w:szCs w:val="22"/>
        </w:rPr>
        <w:t xml:space="preserve">and </w:t>
      </w:r>
      <w:r w:rsidR="0011444B" w:rsidRPr="00F644DF">
        <w:rPr>
          <w:rFonts w:asciiTheme="minorHAnsi" w:hAnsiTheme="minorHAnsi"/>
          <w:color w:val="000000" w:themeColor="text1"/>
          <w:sz w:val="22"/>
          <w:szCs w:val="22"/>
        </w:rPr>
        <w:t>other</w:t>
      </w:r>
      <w:r w:rsidRPr="00F644DF">
        <w:rPr>
          <w:rFonts w:asciiTheme="minorHAnsi" w:hAnsiTheme="minorHAnsi"/>
          <w:color w:val="000000" w:themeColor="text1"/>
          <w:sz w:val="22"/>
          <w:szCs w:val="22"/>
        </w:rPr>
        <w:t>)</w:t>
      </w:r>
    </w:p>
    <w:p w14:paraId="244DB640" w14:textId="77777777" w:rsidR="00F3542F" w:rsidRPr="00F644DF" w:rsidRDefault="001F3384" w:rsidP="00CC3865">
      <w:pPr>
        <w:tabs>
          <w:tab w:val="left" w:pos="5760"/>
        </w:tabs>
        <w:spacing w:before="120"/>
        <w:rPr>
          <w:rFonts w:asciiTheme="minorHAnsi" w:hAnsiTheme="minorHAnsi"/>
          <w:color w:val="000000" w:themeColor="text1"/>
          <w:sz w:val="22"/>
          <w:szCs w:val="22"/>
          <w:u w:val="single"/>
        </w:rPr>
      </w:pPr>
      <w:r w:rsidRPr="00F644DF">
        <w:rPr>
          <w:rFonts w:asciiTheme="minorHAnsi" w:hAnsiTheme="minorHAnsi"/>
          <w:color w:val="000000" w:themeColor="text1"/>
          <w:sz w:val="22"/>
          <w:szCs w:val="22"/>
        </w:rPr>
        <w:t>Subtotal N</w:t>
      </w:r>
      <w:r w:rsidR="000C6269" w:rsidRPr="00F644DF">
        <w:rPr>
          <w:rFonts w:asciiTheme="minorHAnsi" w:hAnsiTheme="minorHAnsi"/>
          <w:color w:val="000000" w:themeColor="text1"/>
          <w:sz w:val="22"/>
          <w:szCs w:val="22"/>
        </w:rPr>
        <w:t xml:space="preserve">et </w:t>
      </w:r>
      <w:r w:rsidRPr="00F644DF">
        <w:rPr>
          <w:rFonts w:asciiTheme="minorHAnsi" w:hAnsiTheme="minorHAnsi"/>
          <w:color w:val="000000" w:themeColor="text1"/>
          <w:sz w:val="22"/>
          <w:szCs w:val="22"/>
        </w:rPr>
        <w:t>O</w:t>
      </w:r>
      <w:r w:rsidR="000C6269" w:rsidRPr="00F644DF">
        <w:rPr>
          <w:rFonts w:asciiTheme="minorHAnsi" w:hAnsiTheme="minorHAnsi"/>
          <w:color w:val="000000" w:themeColor="text1"/>
          <w:sz w:val="22"/>
          <w:szCs w:val="22"/>
        </w:rPr>
        <w:t xml:space="preserve">perating </w:t>
      </w:r>
      <w:r w:rsidRPr="00F644DF">
        <w:rPr>
          <w:rFonts w:asciiTheme="minorHAnsi" w:hAnsiTheme="minorHAnsi"/>
          <w:color w:val="000000" w:themeColor="text1"/>
          <w:sz w:val="22"/>
          <w:szCs w:val="22"/>
        </w:rPr>
        <w:t>I</w:t>
      </w:r>
      <w:r w:rsidR="000C6269" w:rsidRPr="00F644DF">
        <w:rPr>
          <w:rFonts w:asciiTheme="minorHAnsi" w:hAnsiTheme="minorHAnsi"/>
          <w:color w:val="000000" w:themeColor="text1"/>
          <w:sz w:val="22"/>
          <w:szCs w:val="22"/>
        </w:rPr>
        <w:t>ncome (NOI)</w:t>
      </w:r>
      <w:r w:rsidR="004A0EC3" w:rsidRPr="00F644DF">
        <w:rPr>
          <w:rFonts w:asciiTheme="minorHAnsi" w:hAnsiTheme="minorHAnsi"/>
          <w:color w:val="000000" w:themeColor="text1"/>
          <w:sz w:val="22"/>
          <w:szCs w:val="22"/>
        </w:rPr>
        <w:tab/>
      </w:r>
      <w:r w:rsidR="00F3542F" w:rsidRPr="00F644DF">
        <w:rPr>
          <w:rFonts w:asciiTheme="minorHAnsi" w:hAnsiTheme="minorHAnsi"/>
          <w:color w:val="000000" w:themeColor="text1"/>
          <w:sz w:val="22"/>
          <w:szCs w:val="22"/>
        </w:rPr>
        <w:t>$</w:t>
      </w:r>
      <w:r w:rsidR="00CC3865" w:rsidRPr="00CC3865">
        <w:rPr>
          <w:rFonts w:ascii="Calibri" w:hAnsi="Calibri"/>
          <w:sz w:val="22"/>
          <w:szCs w:val="22"/>
          <w:u w:val="single"/>
        </w:rPr>
        <w:fldChar w:fldCharType="begin">
          <w:ffData>
            <w:name w:val=""/>
            <w:enabled/>
            <w:calcOnExit w:val="0"/>
            <w:textInput/>
          </w:ffData>
        </w:fldChar>
      </w:r>
      <w:r w:rsidR="00CC3865" w:rsidRPr="00CC3865">
        <w:rPr>
          <w:rFonts w:ascii="Calibri" w:hAnsi="Calibri"/>
          <w:sz w:val="22"/>
          <w:szCs w:val="22"/>
          <w:u w:val="single"/>
        </w:rPr>
        <w:instrText xml:space="preserve"> FORMTEXT </w:instrText>
      </w:r>
      <w:r w:rsidR="00CC3865" w:rsidRPr="00CC3865">
        <w:rPr>
          <w:rFonts w:ascii="Calibri" w:hAnsi="Calibri"/>
          <w:sz w:val="22"/>
          <w:szCs w:val="22"/>
          <w:u w:val="single"/>
        </w:rPr>
      </w:r>
      <w:r w:rsidR="00CC3865" w:rsidRPr="00CC3865">
        <w:rPr>
          <w:rFonts w:ascii="Calibri" w:hAnsi="Calibri"/>
          <w:sz w:val="22"/>
          <w:szCs w:val="22"/>
          <w:u w:val="single"/>
        </w:rPr>
        <w:fldChar w:fldCharType="separate"/>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sz w:val="22"/>
          <w:szCs w:val="22"/>
          <w:u w:val="single"/>
        </w:rPr>
        <w:fldChar w:fldCharType="end"/>
      </w:r>
    </w:p>
    <w:p w14:paraId="54557E14" w14:textId="77777777" w:rsidR="00F3542F" w:rsidRPr="00F644DF" w:rsidRDefault="00F3542F" w:rsidP="00CC3865">
      <w:pPr>
        <w:tabs>
          <w:tab w:val="left" w:pos="5760"/>
        </w:tabs>
        <w:spacing w:before="120"/>
        <w:rPr>
          <w:rFonts w:asciiTheme="minorHAnsi" w:hAnsiTheme="minorHAnsi"/>
          <w:color w:val="000000" w:themeColor="text1"/>
          <w:sz w:val="22"/>
          <w:szCs w:val="22"/>
          <w:u w:val="single"/>
        </w:rPr>
      </w:pPr>
      <w:r w:rsidRPr="00F644DF">
        <w:rPr>
          <w:rFonts w:asciiTheme="minorHAnsi" w:hAnsiTheme="minorHAnsi"/>
          <w:color w:val="000000" w:themeColor="text1"/>
          <w:sz w:val="22"/>
          <w:szCs w:val="22"/>
        </w:rPr>
        <w:t>Debt Service Coverage Ratio</w:t>
      </w:r>
      <w:r w:rsidR="00342073" w:rsidRPr="00F644DF">
        <w:rPr>
          <w:rFonts w:asciiTheme="minorHAnsi" w:hAnsiTheme="minorHAnsi"/>
          <w:color w:val="000000" w:themeColor="text1"/>
          <w:sz w:val="22"/>
          <w:szCs w:val="22"/>
        </w:rPr>
        <w:t>:</w:t>
      </w:r>
      <w:r w:rsidR="00B0328B" w:rsidRPr="00F644DF">
        <w:rPr>
          <w:rFonts w:asciiTheme="minorHAnsi" w:hAnsiTheme="minorHAnsi"/>
          <w:color w:val="000000" w:themeColor="text1"/>
          <w:sz w:val="22"/>
          <w:szCs w:val="22"/>
        </w:rPr>
        <w:t xml:space="preserve"> </w:t>
      </w:r>
      <w:r w:rsidR="00CC3865">
        <w:rPr>
          <w:rFonts w:asciiTheme="minorHAnsi" w:hAnsiTheme="minorHAnsi"/>
          <w:color w:val="000000" w:themeColor="text1"/>
          <w:sz w:val="22"/>
          <w:szCs w:val="22"/>
        </w:rPr>
        <w:tab/>
      </w:r>
      <w:r w:rsidR="00CC3865" w:rsidRPr="00CC3865">
        <w:rPr>
          <w:rFonts w:ascii="Calibri" w:hAnsi="Calibri"/>
          <w:sz w:val="22"/>
          <w:szCs w:val="22"/>
          <w:u w:val="single"/>
        </w:rPr>
        <w:fldChar w:fldCharType="begin">
          <w:ffData>
            <w:name w:val=""/>
            <w:enabled/>
            <w:calcOnExit w:val="0"/>
            <w:textInput/>
          </w:ffData>
        </w:fldChar>
      </w:r>
      <w:r w:rsidR="00CC3865" w:rsidRPr="00CC3865">
        <w:rPr>
          <w:rFonts w:ascii="Calibri" w:hAnsi="Calibri"/>
          <w:sz w:val="22"/>
          <w:szCs w:val="22"/>
          <w:u w:val="single"/>
        </w:rPr>
        <w:instrText xml:space="preserve"> FORMTEXT </w:instrText>
      </w:r>
      <w:r w:rsidR="00CC3865" w:rsidRPr="00CC3865">
        <w:rPr>
          <w:rFonts w:ascii="Calibri" w:hAnsi="Calibri"/>
          <w:sz w:val="22"/>
          <w:szCs w:val="22"/>
          <w:u w:val="single"/>
        </w:rPr>
      </w:r>
      <w:r w:rsidR="00CC3865" w:rsidRPr="00CC3865">
        <w:rPr>
          <w:rFonts w:ascii="Calibri" w:hAnsi="Calibri"/>
          <w:sz w:val="22"/>
          <w:szCs w:val="22"/>
          <w:u w:val="single"/>
        </w:rPr>
        <w:fldChar w:fldCharType="separate"/>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sz w:val="22"/>
          <w:szCs w:val="22"/>
          <w:u w:val="single"/>
        </w:rPr>
        <w:fldChar w:fldCharType="end"/>
      </w:r>
    </w:p>
    <w:p w14:paraId="6ED2B462" w14:textId="77777777" w:rsidR="00F3542F" w:rsidRPr="00F644DF" w:rsidRDefault="00F3542F" w:rsidP="00CC3865">
      <w:pPr>
        <w:tabs>
          <w:tab w:val="left" w:pos="5760"/>
        </w:tabs>
        <w:spacing w:before="120"/>
        <w:rPr>
          <w:rFonts w:asciiTheme="minorHAnsi" w:hAnsiTheme="minorHAnsi"/>
          <w:color w:val="000000" w:themeColor="text1"/>
          <w:sz w:val="22"/>
          <w:szCs w:val="22"/>
          <w:u w:val="single"/>
        </w:rPr>
      </w:pPr>
      <w:r w:rsidRPr="00F644DF">
        <w:rPr>
          <w:rFonts w:asciiTheme="minorHAnsi" w:hAnsiTheme="minorHAnsi"/>
          <w:color w:val="000000" w:themeColor="text1"/>
          <w:sz w:val="22"/>
          <w:szCs w:val="22"/>
        </w:rPr>
        <w:t>N</w:t>
      </w:r>
      <w:r w:rsidR="001F3384" w:rsidRPr="00F644DF">
        <w:rPr>
          <w:rFonts w:asciiTheme="minorHAnsi" w:hAnsiTheme="minorHAnsi"/>
          <w:color w:val="000000" w:themeColor="text1"/>
          <w:sz w:val="22"/>
          <w:szCs w:val="22"/>
        </w:rPr>
        <w:t>OI Available for Debt Service</w:t>
      </w:r>
      <w:r w:rsidR="001F3384" w:rsidRPr="00F644DF">
        <w:rPr>
          <w:rFonts w:asciiTheme="minorHAnsi" w:hAnsiTheme="minorHAnsi"/>
          <w:color w:val="000000" w:themeColor="text1"/>
          <w:sz w:val="22"/>
          <w:szCs w:val="22"/>
        </w:rPr>
        <w:tab/>
      </w:r>
      <w:r w:rsidRPr="00F644DF">
        <w:rPr>
          <w:rFonts w:asciiTheme="minorHAnsi" w:hAnsiTheme="minorHAnsi"/>
          <w:color w:val="000000" w:themeColor="text1"/>
          <w:sz w:val="22"/>
          <w:szCs w:val="22"/>
        </w:rPr>
        <w:t>$</w:t>
      </w:r>
      <w:r w:rsidR="00CC3865" w:rsidRPr="00CC3865">
        <w:rPr>
          <w:rFonts w:ascii="Calibri" w:hAnsi="Calibri"/>
          <w:sz w:val="22"/>
          <w:szCs w:val="22"/>
          <w:u w:val="single"/>
        </w:rPr>
        <w:fldChar w:fldCharType="begin">
          <w:ffData>
            <w:name w:val=""/>
            <w:enabled/>
            <w:calcOnExit w:val="0"/>
            <w:textInput/>
          </w:ffData>
        </w:fldChar>
      </w:r>
      <w:r w:rsidR="00CC3865" w:rsidRPr="00CC3865">
        <w:rPr>
          <w:rFonts w:ascii="Calibri" w:hAnsi="Calibri"/>
          <w:sz w:val="22"/>
          <w:szCs w:val="22"/>
          <w:u w:val="single"/>
        </w:rPr>
        <w:instrText xml:space="preserve"> FORMTEXT </w:instrText>
      </w:r>
      <w:r w:rsidR="00CC3865" w:rsidRPr="00CC3865">
        <w:rPr>
          <w:rFonts w:ascii="Calibri" w:hAnsi="Calibri"/>
          <w:sz w:val="22"/>
          <w:szCs w:val="22"/>
          <w:u w:val="single"/>
        </w:rPr>
      </w:r>
      <w:r w:rsidR="00CC3865" w:rsidRPr="00CC3865">
        <w:rPr>
          <w:rFonts w:ascii="Calibri" w:hAnsi="Calibri"/>
          <w:sz w:val="22"/>
          <w:szCs w:val="22"/>
          <w:u w:val="single"/>
        </w:rPr>
        <w:fldChar w:fldCharType="separate"/>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sz w:val="22"/>
          <w:szCs w:val="22"/>
          <w:u w:val="single"/>
        </w:rPr>
        <w:fldChar w:fldCharType="end"/>
      </w:r>
    </w:p>
    <w:p w14:paraId="245EFBC1" w14:textId="77777777" w:rsidR="00CC3865" w:rsidRPr="00CC3865" w:rsidRDefault="00CC3865" w:rsidP="00CC3865">
      <w:pPr>
        <w:tabs>
          <w:tab w:val="left" w:pos="4320"/>
          <w:tab w:val="left" w:pos="7200"/>
        </w:tabs>
        <w:spacing w:before="120"/>
        <w:rPr>
          <w:rFonts w:asciiTheme="minorHAnsi" w:hAnsiTheme="minorHAnsi"/>
          <w:color w:val="000000" w:themeColor="text1"/>
          <w:sz w:val="22"/>
          <w:szCs w:val="22"/>
        </w:rPr>
      </w:pPr>
      <w:r w:rsidRPr="00CC3865">
        <w:rPr>
          <w:rFonts w:ascii="Calibri" w:hAnsi="Calibri"/>
          <w:sz w:val="22"/>
          <w:szCs w:val="22"/>
        </w:rPr>
        <w:t xml:space="preserve">Mortgage Amounts:  </w:t>
      </w:r>
      <w:r w:rsidRPr="00CC3865">
        <w:rPr>
          <w:rFonts w:ascii="Calibri" w:hAnsi="Calibri"/>
          <w:sz w:val="22"/>
          <w:szCs w:val="22"/>
          <w:u w:val="single"/>
        </w:rPr>
        <w:fldChar w:fldCharType="begin">
          <w:ffData>
            <w:name w:val=""/>
            <w:enabled/>
            <w:calcOnExit w:val="0"/>
            <w:textInput/>
          </w:ffData>
        </w:fldChar>
      </w:r>
      <w:r w:rsidRPr="00CC3865">
        <w:rPr>
          <w:rFonts w:ascii="Calibri" w:hAnsi="Calibri"/>
          <w:sz w:val="22"/>
          <w:szCs w:val="22"/>
          <w:u w:val="single"/>
        </w:rPr>
        <w:instrText xml:space="preserve"> FORMTEXT </w:instrText>
      </w:r>
      <w:r w:rsidRPr="00CC3865">
        <w:rPr>
          <w:rFonts w:ascii="Calibri" w:hAnsi="Calibri"/>
          <w:sz w:val="22"/>
          <w:szCs w:val="22"/>
          <w:u w:val="single"/>
        </w:rPr>
      </w:r>
      <w:r w:rsidRPr="00CC3865">
        <w:rPr>
          <w:rFonts w:ascii="Calibri" w:hAnsi="Calibri"/>
          <w:sz w:val="22"/>
          <w:szCs w:val="22"/>
          <w:u w:val="single"/>
        </w:rPr>
        <w:fldChar w:fldCharType="separate"/>
      </w:r>
      <w:r w:rsidRPr="00CC3865">
        <w:rPr>
          <w:rFonts w:ascii="Calibri" w:hAnsi="Calibri" w:cs="Arial Unicode MS"/>
          <w:noProof/>
          <w:sz w:val="22"/>
          <w:szCs w:val="22"/>
          <w:u w:val="single"/>
        </w:rPr>
        <w:t> </w:t>
      </w:r>
      <w:r w:rsidRPr="00CC3865">
        <w:rPr>
          <w:rFonts w:ascii="Calibri" w:hAnsi="Calibri" w:cs="Arial Unicode MS"/>
          <w:noProof/>
          <w:sz w:val="22"/>
          <w:szCs w:val="22"/>
          <w:u w:val="single"/>
        </w:rPr>
        <w:t> </w:t>
      </w:r>
      <w:r w:rsidRPr="00CC3865">
        <w:rPr>
          <w:rFonts w:ascii="Calibri" w:hAnsi="Calibri" w:cs="Arial Unicode MS"/>
          <w:noProof/>
          <w:sz w:val="22"/>
          <w:szCs w:val="22"/>
          <w:u w:val="single"/>
        </w:rPr>
        <w:t> </w:t>
      </w:r>
      <w:r w:rsidRPr="00CC3865">
        <w:rPr>
          <w:rFonts w:ascii="Calibri" w:hAnsi="Calibri" w:cs="Arial Unicode MS"/>
          <w:noProof/>
          <w:sz w:val="22"/>
          <w:szCs w:val="22"/>
          <w:u w:val="single"/>
        </w:rPr>
        <w:t> </w:t>
      </w:r>
      <w:r w:rsidRPr="00CC3865">
        <w:rPr>
          <w:rFonts w:ascii="Calibri" w:hAnsi="Calibri" w:cs="Arial Unicode MS"/>
          <w:noProof/>
          <w:sz w:val="22"/>
          <w:szCs w:val="22"/>
          <w:u w:val="single"/>
        </w:rPr>
        <w:t> </w:t>
      </w:r>
      <w:r w:rsidRPr="00CC3865">
        <w:rPr>
          <w:rFonts w:ascii="Calibri" w:hAnsi="Calibri"/>
          <w:sz w:val="22"/>
          <w:szCs w:val="22"/>
          <w:u w:val="single"/>
        </w:rPr>
        <w:fldChar w:fldCharType="end"/>
      </w:r>
      <w:r w:rsidRPr="00CC3865">
        <w:rPr>
          <w:rFonts w:ascii="Calibri" w:hAnsi="Calibri"/>
          <w:sz w:val="22"/>
          <w:szCs w:val="22"/>
        </w:rPr>
        <w:tab/>
        <w:t xml:space="preserve">Rate:  </w:t>
      </w:r>
      <w:r w:rsidRPr="00CC3865">
        <w:rPr>
          <w:rFonts w:ascii="Calibri" w:hAnsi="Calibri"/>
          <w:sz w:val="22"/>
          <w:szCs w:val="22"/>
          <w:u w:val="single"/>
        </w:rPr>
        <w:fldChar w:fldCharType="begin">
          <w:ffData>
            <w:name w:val=""/>
            <w:enabled/>
            <w:calcOnExit w:val="0"/>
            <w:textInput/>
          </w:ffData>
        </w:fldChar>
      </w:r>
      <w:r w:rsidRPr="00CC3865">
        <w:rPr>
          <w:rFonts w:ascii="Calibri" w:hAnsi="Calibri"/>
          <w:sz w:val="22"/>
          <w:szCs w:val="22"/>
          <w:u w:val="single"/>
        </w:rPr>
        <w:instrText xml:space="preserve"> FORMTEXT </w:instrText>
      </w:r>
      <w:r w:rsidRPr="00CC3865">
        <w:rPr>
          <w:rFonts w:ascii="Calibri" w:hAnsi="Calibri"/>
          <w:sz w:val="22"/>
          <w:szCs w:val="22"/>
          <w:u w:val="single"/>
        </w:rPr>
      </w:r>
      <w:r w:rsidRPr="00CC3865">
        <w:rPr>
          <w:rFonts w:ascii="Calibri" w:hAnsi="Calibri"/>
          <w:sz w:val="22"/>
          <w:szCs w:val="22"/>
          <w:u w:val="single"/>
        </w:rPr>
        <w:fldChar w:fldCharType="separate"/>
      </w:r>
      <w:r w:rsidRPr="00CC3865">
        <w:rPr>
          <w:rFonts w:ascii="Calibri" w:hAnsi="Calibri" w:cs="Arial Unicode MS"/>
          <w:noProof/>
          <w:sz w:val="22"/>
          <w:szCs w:val="22"/>
          <w:u w:val="single"/>
        </w:rPr>
        <w:t> </w:t>
      </w:r>
      <w:r w:rsidRPr="00CC3865">
        <w:rPr>
          <w:rFonts w:ascii="Calibri" w:hAnsi="Calibri" w:cs="Arial Unicode MS"/>
          <w:noProof/>
          <w:sz w:val="22"/>
          <w:szCs w:val="22"/>
          <w:u w:val="single"/>
        </w:rPr>
        <w:t> </w:t>
      </w:r>
      <w:r w:rsidRPr="00CC3865">
        <w:rPr>
          <w:rFonts w:ascii="Calibri" w:hAnsi="Calibri" w:cs="Arial Unicode MS"/>
          <w:noProof/>
          <w:sz w:val="22"/>
          <w:szCs w:val="22"/>
          <w:u w:val="single"/>
        </w:rPr>
        <w:t> </w:t>
      </w:r>
      <w:r w:rsidRPr="00CC3865">
        <w:rPr>
          <w:rFonts w:ascii="Calibri" w:hAnsi="Calibri" w:cs="Arial Unicode MS"/>
          <w:noProof/>
          <w:sz w:val="22"/>
          <w:szCs w:val="22"/>
          <w:u w:val="single"/>
        </w:rPr>
        <w:t> </w:t>
      </w:r>
      <w:r w:rsidRPr="00CC3865">
        <w:rPr>
          <w:rFonts w:ascii="Calibri" w:hAnsi="Calibri" w:cs="Arial Unicode MS"/>
          <w:noProof/>
          <w:sz w:val="22"/>
          <w:szCs w:val="22"/>
          <w:u w:val="single"/>
        </w:rPr>
        <w:t> </w:t>
      </w:r>
      <w:r w:rsidRPr="00CC3865">
        <w:rPr>
          <w:rFonts w:ascii="Calibri" w:hAnsi="Calibri"/>
          <w:sz w:val="22"/>
          <w:szCs w:val="22"/>
          <w:u w:val="single"/>
        </w:rPr>
        <w:fldChar w:fldCharType="end"/>
      </w:r>
      <w:r w:rsidRPr="00CC3865">
        <w:rPr>
          <w:rFonts w:ascii="Calibri" w:hAnsi="Calibri"/>
          <w:sz w:val="22"/>
          <w:szCs w:val="22"/>
        </w:rPr>
        <w:tab/>
        <w:t xml:space="preserve">Term:  </w:t>
      </w:r>
      <w:r w:rsidRPr="00CC3865">
        <w:rPr>
          <w:rFonts w:ascii="Calibri" w:hAnsi="Calibri"/>
          <w:sz w:val="22"/>
          <w:szCs w:val="22"/>
          <w:u w:val="single"/>
        </w:rPr>
        <w:fldChar w:fldCharType="begin">
          <w:ffData>
            <w:name w:val=""/>
            <w:enabled/>
            <w:calcOnExit w:val="0"/>
            <w:textInput/>
          </w:ffData>
        </w:fldChar>
      </w:r>
      <w:r w:rsidRPr="00CC3865">
        <w:rPr>
          <w:rFonts w:ascii="Calibri" w:hAnsi="Calibri"/>
          <w:sz w:val="22"/>
          <w:szCs w:val="22"/>
          <w:u w:val="single"/>
        </w:rPr>
        <w:instrText xml:space="preserve"> FORMTEXT </w:instrText>
      </w:r>
      <w:r w:rsidRPr="00CC3865">
        <w:rPr>
          <w:rFonts w:ascii="Calibri" w:hAnsi="Calibri"/>
          <w:sz w:val="22"/>
          <w:szCs w:val="22"/>
          <w:u w:val="single"/>
        </w:rPr>
      </w:r>
      <w:r w:rsidRPr="00CC3865">
        <w:rPr>
          <w:rFonts w:ascii="Calibri" w:hAnsi="Calibri"/>
          <w:sz w:val="22"/>
          <w:szCs w:val="22"/>
          <w:u w:val="single"/>
        </w:rPr>
        <w:fldChar w:fldCharType="separate"/>
      </w:r>
      <w:r w:rsidRPr="00CC3865">
        <w:rPr>
          <w:rFonts w:ascii="Calibri" w:hAnsi="Calibri" w:cs="Arial Unicode MS"/>
          <w:noProof/>
          <w:sz w:val="22"/>
          <w:szCs w:val="22"/>
          <w:u w:val="single"/>
        </w:rPr>
        <w:t> </w:t>
      </w:r>
      <w:r w:rsidRPr="00CC3865">
        <w:rPr>
          <w:rFonts w:ascii="Calibri" w:hAnsi="Calibri" w:cs="Arial Unicode MS"/>
          <w:noProof/>
          <w:sz w:val="22"/>
          <w:szCs w:val="22"/>
          <w:u w:val="single"/>
        </w:rPr>
        <w:t> </w:t>
      </w:r>
      <w:r w:rsidRPr="00CC3865">
        <w:rPr>
          <w:rFonts w:ascii="Calibri" w:hAnsi="Calibri" w:cs="Arial Unicode MS"/>
          <w:noProof/>
          <w:sz w:val="22"/>
          <w:szCs w:val="22"/>
          <w:u w:val="single"/>
        </w:rPr>
        <w:t> </w:t>
      </w:r>
      <w:r w:rsidRPr="00CC3865">
        <w:rPr>
          <w:rFonts w:ascii="Calibri" w:hAnsi="Calibri" w:cs="Arial Unicode MS"/>
          <w:noProof/>
          <w:sz w:val="22"/>
          <w:szCs w:val="22"/>
          <w:u w:val="single"/>
        </w:rPr>
        <w:t> </w:t>
      </w:r>
      <w:r w:rsidRPr="00CC3865">
        <w:rPr>
          <w:rFonts w:ascii="Calibri" w:hAnsi="Calibri" w:cs="Arial Unicode MS"/>
          <w:noProof/>
          <w:sz w:val="22"/>
          <w:szCs w:val="22"/>
          <w:u w:val="single"/>
        </w:rPr>
        <w:t> </w:t>
      </w:r>
      <w:r w:rsidRPr="00CC3865">
        <w:rPr>
          <w:rFonts w:ascii="Calibri" w:hAnsi="Calibri"/>
          <w:sz w:val="22"/>
          <w:szCs w:val="22"/>
          <w:u w:val="single"/>
        </w:rPr>
        <w:fldChar w:fldCharType="end"/>
      </w:r>
    </w:p>
    <w:p w14:paraId="6AECE12B" w14:textId="77777777" w:rsidR="00855F24" w:rsidRPr="00F644DF" w:rsidRDefault="00F3542F" w:rsidP="00CC3865">
      <w:pPr>
        <w:tabs>
          <w:tab w:val="left" w:pos="2160"/>
          <w:tab w:val="left" w:pos="2880"/>
          <w:tab w:val="left" w:pos="5760"/>
          <w:tab w:val="left" w:pos="7200"/>
          <w:tab w:val="left" w:pos="7920"/>
        </w:tabs>
        <w:spacing w:before="120" w:after="120"/>
        <w:rPr>
          <w:rFonts w:asciiTheme="minorHAnsi" w:hAnsiTheme="minorHAnsi"/>
          <w:color w:val="000000" w:themeColor="text1"/>
          <w:sz w:val="22"/>
          <w:szCs w:val="22"/>
        </w:rPr>
      </w:pPr>
      <w:r w:rsidRPr="00F644DF">
        <w:rPr>
          <w:rFonts w:asciiTheme="minorHAnsi" w:hAnsiTheme="minorHAnsi"/>
          <w:color w:val="000000" w:themeColor="text1"/>
          <w:sz w:val="22"/>
          <w:szCs w:val="22"/>
        </w:rPr>
        <w:t>Fully Amortizing?</w:t>
      </w:r>
      <w:r w:rsidR="00CC3865" w:rsidRPr="00CC3865">
        <w:rPr>
          <w:rFonts w:ascii="Calibri" w:hAnsi="Calibri"/>
          <w:sz w:val="22"/>
          <w:szCs w:val="22"/>
        </w:rPr>
        <w:t xml:space="preserve"> </w:t>
      </w:r>
      <w:r w:rsidR="00CC3865">
        <w:rPr>
          <w:rFonts w:ascii="Calibri" w:hAnsi="Calibri"/>
          <w:sz w:val="22"/>
          <w:szCs w:val="22"/>
        </w:rPr>
        <w:tab/>
      </w:r>
      <w:r w:rsidR="00CC3865" w:rsidRPr="000E64E1">
        <w:rPr>
          <w:rFonts w:ascii="Calibri" w:hAnsi="Calibri"/>
          <w:sz w:val="22"/>
          <w:szCs w:val="22"/>
        </w:rPr>
        <w:fldChar w:fldCharType="begin">
          <w:ffData>
            <w:name w:val="Check1"/>
            <w:enabled/>
            <w:calcOnExit w:val="0"/>
            <w:checkBox>
              <w:sizeAuto/>
              <w:default w:val="0"/>
            </w:checkBox>
          </w:ffData>
        </w:fldChar>
      </w:r>
      <w:r w:rsidR="00CC3865" w:rsidRPr="000E64E1">
        <w:rPr>
          <w:rFonts w:ascii="Calibri" w:hAnsi="Calibri"/>
          <w:sz w:val="22"/>
          <w:szCs w:val="22"/>
        </w:rPr>
        <w:instrText xml:space="preserve"> FORMCHECKBOX </w:instrText>
      </w:r>
      <w:r w:rsidR="00105AFD">
        <w:rPr>
          <w:rFonts w:ascii="Calibri" w:hAnsi="Calibri"/>
          <w:sz w:val="22"/>
          <w:szCs w:val="22"/>
        </w:rPr>
      </w:r>
      <w:r w:rsidR="00105AFD">
        <w:rPr>
          <w:rFonts w:ascii="Calibri" w:hAnsi="Calibri"/>
          <w:sz w:val="22"/>
          <w:szCs w:val="22"/>
        </w:rPr>
        <w:fldChar w:fldCharType="separate"/>
      </w:r>
      <w:r w:rsidR="00CC3865" w:rsidRPr="000E64E1">
        <w:rPr>
          <w:rFonts w:ascii="Calibri" w:hAnsi="Calibri"/>
          <w:sz w:val="22"/>
          <w:szCs w:val="22"/>
        </w:rPr>
        <w:fldChar w:fldCharType="end"/>
      </w:r>
      <w:r w:rsidRPr="00F644DF">
        <w:rPr>
          <w:rFonts w:asciiTheme="minorHAnsi" w:hAnsiTheme="minorHAnsi"/>
          <w:color w:val="000000" w:themeColor="text1"/>
          <w:sz w:val="22"/>
          <w:szCs w:val="22"/>
        </w:rPr>
        <w:t>Yes</w:t>
      </w:r>
      <w:r w:rsidR="00CC3865">
        <w:rPr>
          <w:rFonts w:asciiTheme="minorHAnsi" w:hAnsiTheme="minorHAnsi"/>
          <w:color w:val="000000" w:themeColor="text1"/>
          <w:sz w:val="22"/>
          <w:szCs w:val="22"/>
        </w:rPr>
        <w:tab/>
      </w:r>
      <w:r w:rsidR="00CC3865" w:rsidRPr="000E64E1">
        <w:rPr>
          <w:rFonts w:ascii="Calibri" w:hAnsi="Calibri"/>
          <w:sz w:val="22"/>
          <w:szCs w:val="22"/>
        </w:rPr>
        <w:fldChar w:fldCharType="begin">
          <w:ffData>
            <w:name w:val="Check1"/>
            <w:enabled/>
            <w:calcOnExit w:val="0"/>
            <w:checkBox>
              <w:sizeAuto/>
              <w:default w:val="0"/>
            </w:checkBox>
          </w:ffData>
        </w:fldChar>
      </w:r>
      <w:r w:rsidR="00CC3865" w:rsidRPr="000E64E1">
        <w:rPr>
          <w:rFonts w:ascii="Calibri" w:hAnsi="Calibri"/>
          <w:sz w:val="22"/>
          <w:szCs w:val="22"/>
        </w:rPr>
        <w:instrText xml:space="preserve"> FORMCHECKBOX </w:instrText>
      </w:r>
      <w:r w:rsidR="00105AFD">
        <w:rPr>
          <w:rFonts w:ascii="Calibri" w:hAnsi="Calibri"/>
          <w:sz w:val="22"/>
          <w:szCs w:val="22"/>
        </w:rPr>
      </w:r>
      <w:r w:rsidR="00105AFD">
        <w:rPr>
          <w:rFonts w:ascii="Calibri" w:hAnsi="Calibri"/>
          <w:sz w:val="22"/>
          <w:szCs w:val="22"/>
        </w:rPr>
        <w:fldChar w:fldCharType="separate"/>
      </w:r>
      <w:r w:rsidR="00CC3865" w:rsidRPr="000E64E1">
        <w:rPr>
          <w:rFonts w:ascii="Calibri" w:hAnsi="Calibri"/>
          <w:sz w:val="22"/>
          <w:szCs w:val="22"/>
        </w:rPr>
        <w:fldChar w:fldCharType="end"/>
      </w:r>
      <w:r w:rsidRPr="00F644DF">
        <w:rPr>
          <w:rFonts w:asciiTheme="minorHAnsi" w:hAnsiTheme="minorHAnsi"/>
          <w:color w:val="000000" w:themeColor="text1"/>
          <w:sz w:val="22"/>
          <w:szCs w:val="22"/>
        </w:rPr>
        <w:t>No</w:t>
      </w:r>
      <w:r w:rsidR="0054430D" w:rsidRPr="00F644DF">
        <w:rPr>
          <w:rFonts w:asciiTheme="minorHAnsi" w:hAnsiTheme="minorHAnsi"/>
          <w:color w:val="000000" w:themeColor="text1"/>
          <w:sz w:val="22"/>
          <w:szCs w:val="22"/>
        </w:rPr>
        <w:tab/>
      </w:r>
      <w:r w:rsidRPr="00F644DF">
        <w:rPr>
          <w:rFonts w:asciiTheme="minorHAnsi" w:hAnsiTheme="minorHAnsi"/>
          <w:color w:val="000000" w:themeColor="text1"/>
          <w:sz w:val="22"/>
          <w:szCs w:val="22"/>
        </w:rPr>
        <w:t>Insured?</w:t>
      </w:r>
      <w:r w:rsidR="00CC3865" w:rsidRPr="00CC3865">
        <w:rPr>
          <w:rFonts w:ascii="Calibri" w:hAnsi="Calibri"/>
          <w:sz w:val="22"/>
          <w:szCs w:val="22"/>
        </w:rPr>
        <w:t xml:space="preserve"> </w:t>
      </w:r>
      <w:r w:rsidR="00CC3865">
        <w:rPr>
          <w:rFonts w:ascii="Calibri" w:hAnsi="Calibri"/>
          <w:sz w:val="22"/>
          <w:szCs w:val="22"/>
        </w:rPr>
        <w:tab/>
      </w:r>
      <w:r w:rsidR="00CC3865" w:rsidRPr="000E64E1">
        <w:rPr>
          <w:rFonts w:ascii="Calibri" w:hAnsi="Calibri"/>
          <w:sz w:val="22"/>
          <w:szCs w:val="22"/>
        </w:rPr>
        <w:fldChar w:fldCharType="begin">
          <w:ffData>
            <w:name w:val="Check1"/>
            <w:enabled/>
            <w:calcOnExit w:val="0"/>
            <w:checkBox>
              <w:sizeAuto/>
              <w:default w:val="0"/>
            </w:checkBox>
          </w:ffData>
        </w:fldChar>
      </w:r>
      <w:r w:rsidR="00CC3865" w:rsidRPr="000E64E1">
        <w:rPr>
          <w:rFonts w:ascii="Calibri" w:hAnsi="Calibri"/>
          <w:sz w:val="22"/>
          <w:szCs w:val="22"/>
        </w:rPr>
        <w:instrText xml:space="preserve"> FORMCHECKBOX </w:instrText>
      </w:r>
      <w:r w:rsidR="00105AFD">
        <w:rPr>
          <w:rFonts w:ascii="Calibri" w:hAnsi="Calibri"/>
          <w:sz w:val="22"/>
          <w:szCs w:val="22"/>
        </w:rPr>
      </w:r>
      <w:r w:rsidR="00105AFD">
        <w:rPr>
          <w:rFonts w:ascii="Calibri" w:hAnsi="Calibri"/>
          <w:sz w:val="22"/>
          <w:szCs w:val="22"/>
        </w:rPr>
        <w:fldChar w:fldCharType="separate"/>
      </w:r>
      <w:r w:rsidR="00CC3865" w:rsidRPr="000E64E1">
        <w:rPr>
          <w:rFonts w:ascii="Calibri" w:hAnsi="Calibri"/>
          <w:sz w:val="22"/>
          <w:szCs w:val="22"/>
        </w:rPr>
        <w:fldChar w:fldCharType="end"/>
      </w:r>
      <w:r w:rsidRPr="00F644DF">
        <w:rPr>
          <w:rFonts w:asciiTheme="minorHAnsi" w:hAnsiTheme="minorHAnsi"/>
          <w:color w:val="000000" w:themeColor="text1"/>
          <w:sz w:val="22"/>
          <w:szCs w:val="22"/>
        </w:rPr>
        <w:t>Yes</w:t>
      </w:r>
      <w:r w:rsidR="00CC3865">
        <w:rPr>
          <w:rFonts w:asciiTheme="minorHAnsi" w:hAnsiTheme="minorHAnsi"/>
          <w:color w:val="000000" w:themeColor="text1"/>
          <w:sz w:val="22"/>
          <w:szCs w:val="22"/>
        </w:rPr>
        <w:tab/>
      </w:r>
      <w:r w:rsidR="00CC3865" w:rsidRPr="000E64E1">
        <w:rPr>
          <w:rFonts w:ascii="Calibri" w:hAnsi="Calibri"/>
          <w:sz w:val="22"/>
          <w:szCs w:val="22"/>
        </w:rPr>
        <w:fldChar w:fldCharType="begin">
          <w:ffData>
            <w:name w:val="Check1"/>
            <w:enabled/>
            <w:calcOnExit w:val="0"/>
            <w:checkBox>
              <w:sizeAuto/>
              <w:default w:val="0"/>
            </w:checkBox>
          </w:ffData>
        </w:fldChar>
      </w:r>
      <w:r w:rsidR="00CC3865" w:rsidRPr="000E64E1">
        <w:rPr>
          <w:rFonts w:ascii="Calibri" w:hAnsi="Calibri"/>
          <w:sz w:val="22"/>
          <w:szCs w:val="22"/>
        </w:rPr>
        <w:instrText xml:space="preserve"> FORMCHECKBOX </w:instrText>
      </w:r>
      <w:r w:rsidR="00105AFD">
        <w:rPr>
          <w:rFonts w:ascii="Calibri" w:hAnsi="Calibri"/>
          <w:sz w:val="22"/>
          <w:szCs w:val="22"/>
        </w:rPr>
      </w:r>
      <w:r w:rsidR="00105AFD">
        <w:rPr>
          <w:rFonts w:ascii="Calibri" w:hAnsi="Calibri"/>
          <w:sz w:val="22"/>
          <w:szCs w:val="22"/>
        </w:rPr>
        <w:fldChar w:fldCharType="separate"/>
      </w:r>
      <w:r w:rsidR="00CC3865" w:rsidRPr="000E64E1">
        <w:rPr>
          <w:rFonts w:ascii="Calibri" w:hAnsi="Calibri"/>
          <w:sz w:val="22"/>
          <w:szCs w:val="22"/>
        </w:rPr>
        <w:fldChar w:fldCharType="end"/>
      </w:r>
      <w:r w:rsidRPr="00F644DF">
        <w:rPr>
          <w:rFonts w:asciiTheme="minorHAnsi" w:hAnsiTheme="minorHAnsi"/>
          <w:color w:val="000000" w:themeColor="text1"/>
          <w:sz w:val="22"/>
          <w:szCs w:val="22"/>
        </w:rPr>
        <w:t>No</w:t>
      </w:r>
    </w:p>
    <w:p w14:paraId="1C872875" w14:textId="77777777" w:rsidR="00855F24" w:rsidRPr="00855F24" w:rsidRDefault="00855F24" w:rsidP="00F644DF">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ascii="Calibri" w:hAnsi="Calibri"/>
          <w:b/>
          <w:sz w:val="22"/>
          <w:szCs w:val="22"/>
        </w:rPr>
      </w:pPr>
      <w:r>
        <w:rPr>
          <w:rFonts w:ascii="Calibri" w:hAnsi="Calibri"/>
          <w:b/>
          <w:sz w:val="22"/>
          <w:szCs w:val="22"/>
        </w:rPr>
        <w:t>Section B</w:t>
      </w:r>
    </w:p>
    <w:p w14:paraId="0827D178" w14:textId="77777777" w:rsidR="00434B00" w:rsidRDefault="00F3542F" w:rsidP="00476734">
      <w:pPr>
        <w:spacing w:before="120"/>
        <w:rPr>
          <w:rFonts w:asciiTheme="minorHAnsi" w:hAnsiTheme="minorHAnsi"/>
          <w:sz w:val="22"/>
          <w:szCs w:val="22"/>
        </w:rPr>
      </w:pPr>
      <w:r w:rsidRPr="00476734">
        <w:rPr>
          <w:rFonts w:asciiTheme="minorHAnsi" w:hAnsiTheme="minorHAnsi"/>
          <w:sz w:val="22"/>
          <w:szCs w:val="22"/>
        </w:rPr>
        <w:t xml:space="preserve">We certify the </w:t>
      </w:r>
      <w:proofErr w:type="gramStart"/>
      <w:r w:rsidRPr="00476734">
        <w:rPr>
          <w:rFonts w:asciiTheme="minorHAnsi" w:hAnsiTheme="minorHAnsi"/>
          <w:sz w:val="22"/>
          <w:szCs w:val="22"/>
        </w:rPr>
        <w:t>above named</w:t>
      </w:r>
      <w:proofErr w:type="gramEnd"/>
      <w:r w:rsidRPr="00476734">
        <w:rPr>
          <w:rFonts w:asciiTheme="minorHAnsi" w:hAnsiTheme="minorHAnsi"/>
          <w:sz w:val="22"/>
          <w:szCs w:val="22"/>
        </w:rPr>
        <w:t xml:space="preserve"> </w:t>
      </w:r>
      <w:r w:rsidR="007E175E">
        <w:rPr>
          <w:rFonts w:asciiTheme="minorHAnsi" w:hAnsiTheme="minorHAnsi"/>
          <w:sz w:val="22"/>
          <w:szCs w:val="22"/>
        </w:rPr>
        <w:t xml:space="preserve">project </w:t>
      </w:r>
      <w:r w:rsidRPr="00476734">
        <w:rPr>
          <w:rFonts w:asciiTheme="minorHAnsi" w:hAnsiTheme="minorHAnsi"/>
          <w:sz w:val="22"/>
          <w:szCs w:val="22"/>
        </w:rPr>
        <w:t>was underwritten utilizing the information provided in this exhibit.</w:t>
      </w:r>
      <w:r w:rsidR="00483F27">
        <w:rPr>
          <w:rFonts w:asciiTheme="minorHAnsi" w:hAnsiTheme="minorHAnsi"/>
          <w:sz w:val="22"/>
          <w:szCs w:val="22"/>
        </w:rPr>
        <w:t xml:space="preserve"> </w:t>
      </w:r>
      <w:r w:rsidR="005E66E2">
        <w:rPr>
          <w:rFonts w:asciiTheme="minorHAnsi" w:hAnsiTheme="minorHAnsi"/>
          <w:sz w:val="22"/>
          <w:szCs w:val="22"/>
        </w:rPr>
        <w:t>We are certifying that this information meets or exceeds the Minnesota Housing Underwriting Standards referenced above and reflects the pro forma structure in the applicant</w:t>
      </w:r>
      <w:r w:rsidR="00197534">
        <w:rPr>
          <w:rFonts w:asciiTheme="minorHAnsi" w:hAnsiTheme="minorHAnsi"/>
          <w:sz w:val="22"/>
          <w:szCs w:val="22"/>
        </w:rPr>
        <w:t>’</w:t>
      </w:r>
      <w:r w:rsidR="005E66E2">
        <w:rPr>
          <w:rFonts w:asciiTheme="minorHAnsi" w:hAnsiTheme="minorHAnsi"/>
          <w:sz w:val="22"/>
          <w:szCs w:val="22"/>
        </w:rPr>
        <w:t xml:space="preserve">s </w:t>
      </w:r>
      <w:r w:rsidR="007A04BE">
        <w:rPr>
          <w:rFonts w:asciiTheme="minorHAnsi" w:hAnsiTheme="minorHAnsi"/>
          <w:sz w:val="22"/>
          <w:szCs w:val="22"/>
        </w:rPr>
        <w:t>Multifamily Workbook</w:t>
      </w:r>
      <w:r w:rsidR="005E66E2">
        <w:rPr>
          <w:rFonts w:asciiTheme="minorHAnsi" w:hAnsiTheme="minorHAnsi"/>
          <w:sz w:val="22"/>
          <w:szCs w:val="22"/>
        </w:rPr>
        <w:t>.</w:t>
      </w:r>
      <w:r w:rsidR="00197534">
        <w:rPr>
          <w:rFonts w:asciiTheme="minorHAnsi" w:hAnsiTheme="minorHAnsi"/>
          <w:sz w:val="22"/>
          <w:szCs w:val="22"/>
        </w:rPr>
        <w:t xml:space="preserve"> </w:t>
      </w:r>
    </w:p>
    <w:p w14:paraId="7A9BAE93" w14:textId="77777777" w:rsidR="00797ED1" w:rsidRDefault="00434B00" w:rsidP="00476734">
      <w:pPr>
        <w:spacing w:before="120"/>
        <w:rPr>
          <w:rFonts w:asciiTheme="minorHAnsi" w:hAnsiTheme="minorHAnsi"/>
          <w:sz w:val="22"/>
          <w:szCs w:val="22"/>
        </w:rPr>
      </w:pPr>
      <w:r>
        <w:rPr>
          <w:rFonts w:asciiTheme="minorHAnsi" w:hAnsiTheme="minorHAnsi"/>
          <w:sz w:val="22"/>
          <w:szCs w:val="22"/>
        </w:rPr>
        <w:t>(</w:t>
      </w:r>
      <w:r w:rsidR="00FD69E4">
        <w:rPr>
          <w:rFonts w:asciiTheme="minorHAnsi" w:hAnsiTheme="minorHAnsi"/>
          <w:b/>
          <w:sz w:val="22"/>
          <w:szCs w:val="22"/>
        </w:rPr>
        <w:t>NOTE</w:t>
      </w:r>
      <w:r w:rsidRPr="003C6087">
        <w:rPr>
          <w:rFonts w:asciiTheme="minorHAnsi" w:hAnsiTheme="minorHAnsi"/>
          <w:b/>
          <w:sz w:val="22"/>
          <w:szCs w:val="22"/>
        </w:rPr>
        <w:t>:</w:t>
      </w:r>
      <w:r w:rsidR="00197534" w:rsidRPr="003C6087">
        <w:rPr>
          <w:rFonts w:asciiTheme="minorHAnsi" w:hAnsiTheme="minorHAnsi"/>
          <w:b/>
          <w:sz w:val="22"/>
          <w:szCs w:val="22"/>
        </w:rPr>
        <w:t xml:space="preserve"> If certain components of the above </w:t>
      </w:r>
      <w:r w:rsidR="00FD69E4">
        <w:rPr>
          <w:rFonts w:asciiTheme="minorHAnsi" w:hAnsiTheme="minorHAnsi"/>
          <w:b/>
          <w:sz w:val="22"/>
          <w:szCs w:val="22"/>
        </w:rPr>
        <w:t>do not meet</w:t>
      </w:r>
      <w:r w:rsidR="00197534" w:rsidRPr="003C6087">
        <w:rPr>
          <w:rFonts w:asciiTheme="minorHAnsi" w:hAnsiTheme="minorHAnsi"/>
          <w:b/>
          <w:sz w:val="22"/>
          <w:szCs w:val="22"/>
        </w:rPr>
        <w:t xml:space="preserve"> Minnesota Housing standards, the </w:t>
      </w:r>
      <w:r w:rsidR="00483F27" w:rsidRPr="003C6087">
        <w:rPr>
          <w:rFonts w:asciiTheme="minorHAnsi" w:hAnsiTheme="minorHAnsi"/>
          <w:b/>
          <w:sz w:val="22"/>
          <w:szCs w:val="22"/>
        </w:rPr>
        <w:t>l</w:t>
      </w:r>
      <w:r w:rsidR="00197534" w:rsidRPr="003C6087">
        <w:rPr>
          <w:rFonts w:asciiTheme="minorHAnsi" w:hAnsiTheme="minorHAnsi"/>
          <w:b/>
          <w:sz w:val="22"/>
          <w:szCs w:val="22"/>
        </w:rPr>
        <w:t xml:space="preserve">ending </w:t>
      </w:r>
      <w:r w:rsidR="00FD69E4">
        <w:rPr>
          <w:rFonts w:asciiTheme="minorHAnsi" w:hAnsiTheme="minorHAnsi"/>
          <w:b/>
          <w:sz w:val="22"/>
          <w:szCs w:val="22"/>
        </w:rPr>
        <w:t>i</w:t>
      </w:r>
      <w:r w:rsidR="00FD69E4" w:rsidRPr="003C6087">
        <w:rPr>
          <w:rFonts w:asciiTheme="minorHAnsi" w:hAnsiTheme="minorHAnsi"/>
          <w:b/>
          <w:sz w:val="22"/>
          <w:szCs w:val="22"/>
        </w:rPr>
        <w:t xml:space="preserve">nstitution </w:t>
      </w:r>
      <w:r w:rsidR="00197534" w:rsidRPr="003C6087">
        <w:rPr>
          <w:rFonts w:asciiTheme="minorHAnsi" w:hAnsiTheme="minorHAnsi"/>
          <w:b/>
          <w:sz w:val="22"/>
          <w:szCs w:val="22"/>
        </w:rPr>
        <w:t>must provide a detailed explanation as an attachment to this form.</w:t>
      </w:r>
      <w:r w:rsidRPr="003C6087">
        <w:rPr>
          <w:rFonts w:asciiTheme="minorHAnsi" w:hAnsiTheme="minorHAnsi"/>
          <w:b/>
          <w:sz w:val="22"/>
          <w:szCs w:val="22"/>
        </w:rPr>
        <w:t>)</w:t>
      </w:r>
    </w:p>
    <w:p w14:paraId="41853045" w14:textId="77777777" w:rsidR="00F3542F" w:rsidRPr="00483F27" w:rsidRDefault="00F3542F" w:rsidP="00476734">
      <w:pPr>
        <w:spacing w:before="120"/>
        <w:rPr>
          <w:rFonts w:asciiTheme="minorHAnsi" w:hAnsiTheme="minorHAnsi"/>
          <w:color w:val="000000" w:themeColor="text1"/>
          <w:sz w:val="22"/>
          <w:szCs w:val="22"/>
          <w:u w:val="single"/>
        </w:rPr>
      </w:pPr>
      <w:r w:rsidRPr="00483F27">
        <w:rPr>
          <w:rFonts w:asciiTheme="minorHAnsi" w:hAnsiTheme="minorHAnsi"/>
          <w:color w:val="000000" w:themeColor="text1"/>
          <w:sz w:val="22"/>
          <w:szCs w:val="22"/>
        </w:rPr>
        <w:t>Lending Institution</w:t>
      </w:r>
      <w:r w:rsidR="00B0328B" w:rsidRPr="00483F27">
        <w:rPr>
          <w:rFonts w:asciiTheme="minorHAnsi" w:hAnsiTheme="minorHAnsi"/>
          <w:color w:val="000000" w:themeColor="text1"/>
          <w:sz w:val="22"/>
          <w:szCs w:val="22"/>
        </w:rPr>
        <w:t xml:space="preserve">: </w:t>
      </w:r>
      <w:r w:rsidR="00CC3865" w:rsidRPr="00CC3865">
        <w:rPr>
          <w:rFonts w:ascii="Calibri" w:hAnsi="Calibri"/>
          <w:sz w:val="22"/>
          <w:szCs w:val="22"/>
          <w:u w:val="single"/>
        </w:rPr>
        <w:fldChar w:fldCharType="begin">
          <w:ffData>
            <w:name w:val=""/>
            <w:enabled/>
            <w:calcOnExit w:val="0"/>
            <w:textInput/>
          </w:ffData>
        </w:fldChar>
      </w:r>
      <w:r w:rsidR="00CC3865" w:rsidRPr="00CC3865">
        <w:rPr>
          <w:rFonts w:ascii="Calibri" w:hAnsi="Calibri"/>
          <w:sz w:val="22"/>
          <w:szCs w:val="22"/>
          <w:u w:val="single"/>
        </w:rPr>
        <w:instrText xml:space="preserve"> FORMTEXT </w:instrText>
      </w:r>
      <w:r w:rsidR="00CC3865" w:rsidRPr="00CC3865">
        <w:rPr>
          <w:rFonts w:ascii="Calibri" w:hAnsi="Calibri"/>
          <w:sz w:val="22"/>
          <w:szCs w:val="22"/>
          <w:u w:val="single"/>
        </w:rPr>
      </w:r>
      <w:r w:rsidR="00CC3865" w:rsidRPr="00CC3865">
        <w:rPr>
          <w:rFonts w:ascii="Calibri" w:hAnsi="Calibri"/>
          <w:sz w:val="22"/>
          <w:szCs w:val="22"/>
          <w:u w:val="single"/>
        </w:rPr>
        <w:fldChar w:fldCharType="separate"/>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sz w:val="22"/>
          <w:szCs w:val="22"/>
          <w:u w:val="single"/>
        </w:rPr>
        <w:fldChar w:fldCharType="end"/>
      </w:r>
    </w:p>
    <w:p w14:paraId="2D998C14" w14:textId="77777777" w:rsidR="00F3542F" w:rsidRDefault="00F3542F" w:rsidP="00476734">
      <w:pPr>
        <w:spacing w:before="120"/>
        <w:rPr>
          <w:rFonts w:asciiTheme="minorHAnsi" w:hAnsiTheme="minorHAnsi"/>
          <w:color w:val="000000" w:themeColor="text1"/>
          <w:sz w:val="22"/>
          <w:szCs w:val="22"/>
          <w:u w:val="single"/>
        </w:rPr>
      </w:pPr>
      <w:r w:rsidRPr="00483F27">
        <w:rPr>
          <w:rFonts w:asciiTheme="minorHAnsi" w:hAnsiTheme="minorHAnsi"/>
          <w:color w:val="000000" w:themeColor="text1"/>
          <w:sz w:val="22"/>
          <w:szCs w:val="22"/>
        </w:rPr>
        <w:t>Signature</w:t>
      </w:r>
      <w:r w:rsidR="006135E0" w:rsidRPr="00483F27">
        <w:rPr>
          <w:rFonts w:asciiTheme="minorHAnsi" w:hAnsiTheme="minorHAnsi"/>
          <w:color w:val="000000" w:themeColor="text1"/>
          <w:sz w:val="22"/>
          <w:szCs w:val="22"/>
        </w:rPr>
        <w:t>:</w:t>
      </w:r>
      <w:r w:rsidRPr="00483F27">
        <w:rPr>
          <w:rFonts w:asciiTheme="minorHAnsi" w:hAnsiTheme="minorHAnsi"/>
          <w:color w:val="000000" w:themeColor="text1"/>
          <w:sz w:val="22"/>
          <w:szCs w:val="22"/>
        </w:rPr>
        <w:t xml:space="preserve"> </w:t>
      </w:r>
      <w:r w:rsidR="00265FD1" w:rsidRPr="00483F27">
        <w:rPr>
          <w:rFonts w:asciiTheme="minorHAnsi" w:hAnsiTheme="minorHAnsi"/>
          <w:color w:val="000000" w:themeColor="text1"/>
          <w:sz w:val="22"/>
          <w:szCs w:val="22"/>
          <w:u w:val="single"/>
        </w:rPr>
        <w:t>_____________________________________</w:t>
      </w:r>
    </w:p>
    <w:p w14:paraId="769F99E7" w14:textId="77777777" w:rsidR="00CC3865" w:rsidRPr="00483F27" w:rsidRDefault="00CC3865" w:rsidP="00476734">
      <w:pPr>
        <w:spacing w:before="120"/>
        <w:rPr>
          <w:rFonts w:asciiTheme="minorHAnsi" w:hAnsiTheme="minorHAnsi"/>
          <w:color w:val="000000" w:themeColor="text1"/>
          <w:sz w:val="22"/>
          <w:szCs w:val="22"/>
          <w:u w:val="single"/>
        </w:rPr>
      </w:pPr>
    </w:p>
    <w:p w14:paraId="63E02D6D" w14:textId="77777777" w:rsidR="00C02003" w:rsidRPr="00483F27" w:rsidRDefault="00B0328B" w:rsidP="00CC3865">
      <w:pPr>
        <w:tabs>
          <w:tab w:val="left" w:pos="5040"/>
          <w:tab w:val="left" w:pos="8640"/>
        </w:tabs>
        <w:spacing w:before="120"/>
        <w:rPr>
          <w:rFonts w:asciiTheme="minorHAnsi" w:hAnsiTheme="minorHAnsi"/>
          <w:color w:val="000000" w:themeColor="text1"/>
          <w:sz w:val="18"/>
          <w:szCs w:val="18"/>
        </w:rPr>
      </w:pPr>
      <w:r w:rsidRPr="00483F27">
        <w:rPr>
          <w:rFonts w:asciiTheme="minorHAnsi" w:hAnsiTheme="minorHAnsi"/>
          <w:color w:val="000000" w:themeColor="text1"/>
          <w:sz w:val="22"/>
          <w:szCs w:val="22"/>
        </w:rPr>
        <w:t xml:space="preserve">Print or Type Name: </w:t>
      </w:r>
      <w:r w:rsidR="00CC3865" w:rsidRPr="00CC3865">
        <w:rPr>
          <w:rFonts w:ascii="Calibri" w:hAnsi="Calibri"/>
          <w:sz w:val="22"/>
          <w:szCs w:val="22"/>
          <w:u w:val="single"/>
        </w:rPr>
        <w:fldChar w:fldCharType="begin">
          <w:ffData>
            <w:name w:val=""/>
            <w:enabled/>
            <w:calcOnExit w:val="0"/>
            <w:textInput/>
          </w:ffData>
        </w:fldChar>
      </w:r>
      <w:r w:rsidR="00CC3865" w:rsidRPr="00CC3865">
        <w:rPr>
          <w:rFonts w:ascii="Calibri" w:hAnsi="Calibri"/>
          <w:sz w:val="22"/>
          <w:szCs w:val="22"/>
          <w:u w:val="single"/>
        </w:rPr>
        <w:instrText xml:space="preserve"> FORMTEXT </w:instrText>
      </w:r>
      <w:r w:rsidR="00CC3865" w:rsidRPr="00CC3865">
        <w:rPr>
          <w:rFonts w:ascii="Calibri" w:hAnsi="Calibri"/>
          <w:sz w:val="22"/>
          <w:szCs w:val="22"/>
          <w:u w:val="single"/>
        </w:rPr>
      </w:r>
      <w:r w:rsidR="00CC3865" w:rsidRPr="00CC3865">
        <w:rPr>
          <w:rFonts w:ascii="Calibri" w:hAnsi="Calibri"/>
          <w:sz w:val="22"/>
          <w:szCs w:val="22"/>
          <w:u w:val="single"/>
        </w:rPr>
        <w:fldChar w:fldCharType="separate"/>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sz w:val="22"/>
          <w:szCs w:val="22"/>
          <w:u w:val="single"/>
        </w:rPr>
        <w:fldChar w:fldCharType="end"/>
      </w:r>
      <w:r w:rsidR="00E16443" w:rsidRPr="00483F27">
        <w:rPr>
          <w:rFonts w:asciiTheme="minorHAnsi" w:hAnsiTheme="minorHAnsi"/>
          <w:color w:val="000000" w:themeColor="text1"/>
          <w:sz w:val="22"/>
          <w:szCs w:val="22"/>
        </w:rPr>
        <w:tab/>
      </w:r>
      <w:r w:rsidR="00E16443" w:rsidRPr="00483F27">
        <w:rPr>
          <w:rFonts w:ascii="Calibri" w:hAnsi="Calibri"/>
          <w:color w:val="000000" w:themeColor="text1"/>
          <w:sz w:val="22"/>
          <w:szCs w:val="22"/>
        </w:rPr>
        <w:t>Title</w:t>
      </w:r>
      <w:r w:rsidRPr="00483F27">
        <w:rPr>
          <w:rFonts w:ascii="Calibri" w:hAnsi="Calibri"/>
          <w:color w:val="000000" w:themeColor="text1"/>
          <w:sz w:val="22"/>
          <w:szCs w:val="22"/>
        </w:rPr>
        <w:t xml:space="preserve">: </w:t>
      </w:r>
      <w:r w:rsidR="00CC3865" w:rsidRPr="00CC3865">
        <w:rPr>
          <w:rFonts w:ascii="Calibri" w:hAnsi="Calibri"/>
          <w:sz w:val="22"/>
          <w:szCs w:val="22"/>
          <w:u w:val="single"/>
        </w:rPr>
        <w:fldChar w:fldCharType="begin">
          <w:ffData>
            <w:name w:val=""/>
            <w:enabled/>
            <w:calcOnExit w:val="0"/>
            <w:textInput/>
          </w:ffData>
        </w:fldChar>
      </w:r>
      <w:r w:rsidR="00CC3865" w:rsidRPr="00CC3865">
        <w:rPr>
          <w:rFonts w:ascii="Calibri" w:hAnsi="Calibri"/>
          <w:sz w:val="22"/>
          <w:szCs w:val="22"/>
          <w:u w:val="single"/>
        </w:rPr>
        <w:instrText xml:space="preserve"> FORMTEXT </w:instrText>
      </w:r>
      <w:r w:rsidR="00CC3865" w:rsidRPr="00CC3865">
        <w:rPr>
          <w:rFonts w:ascii="Calibri" w:hAnsi="Calibri"/>
          <w:sz w:val="22"/>
          <w:szCs w:val="22"/>
          <w:u w:val="single"/>
        </w:rPr>
      </w:r>
      <w:r w:rsidR="00CC3865" w:rsidRPr="00CC3865">
        <w:rPr>
          <w:rFonts w:ascii="Calibri" w:hAnsi="Calibri"/>
          <w:sz w:val="22"/>
          <w:szCs w:val="22"/>
          <w:u w:val="single"/>
        </w:rPr>
        <w:fldChar w:fldCharType="separate"/>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sz w:val="22"/>
          <w:szCs w:val="22"/>
          <w:u w:val="single"/>
        </w:rPr>
        <w:fldChar w:fldCharType="end"/>
      </w:r>
      <w:r w:rsidR="00CC3865">
        <w:rPr>
          <w:rFonts w:ascii="Calibri" w:hAnsi="Calibri"/>
          <w:color w:val="000000" w:themeColor="text1"/>
          <w:sz w:val="22"/>
          <w:szCs w:val="22"/>
        </w:rPr>
        <w:tab/>
      </w:r>
      <w:r w:rsidR="00E16443" w:rsidRPr="00483F27">
        <w:rPr>
          <w:rFonts w:ascii="Calibri" w:hAnsi="Calibri"/>
          <w:color w:val="000000" w:themeColor="text1"/>
          <w:sz w:val="22"/>
          <w:szCs w:val="22"/>
        </w:rPr>
        <w:t>Date</w:t>
      </w:r>
      <w:r w:rsidRPr="00483F27">
        <w:rPr>
          <w:rFonts w:ascii="Calibri" w:hAnsi="Calibri"/>
          <w:color w:val="000000" w:themeColor="text1"/>
          <w:sz w:val="22"/>
          <w:szCs w:val="22"/>
        </w:rPr>
        <w:t xml:space="preserve">: </w:t>
      </w:r>
      <w:r w:rsidR="00CC3865" w:rsidRPr="00CC3865">
        <w:rPr>
          <w:rFonts w:ascii="Calibri" w:hAnsi="Calibri"/>
          <w:sz w:val="22"/>
          <w:szCs w:val="22"/>
          <w:u w:val="single"/>
        </w:rPr>
        <w:fldChar w:fldCharType="begin">
          <w:ffData>
            <w:name w:val=""/>
            <w:enabled/>
            <w:calcOnExit w:val="0"/>
            <w:textInput/>
          </w:ffData>
        </w:fldChar>
      </w:r>
      <w:r w:rsidR="00CC3865" w:rsidRPr="00CC3865">
        <w:rPr>
          <w:rFonts w:ascii="Calibri" w:hAnsi="Calibri"/>
          <w:sz w:val="22"/>
          <w:szCs w:val="22"/>
          <w:u w:val="single"/>
        </w:rPr>
        <w:instrText xml:space="preserve"> FORMTEXT </w:instrText>
      </w:r>
      <w:r w:rsidR="00CC3865" w:rsidRPr="00CC3865">
        <w:rPr>
          <w:rFonts w:ascii="Calibri" w:hAnsi="Calibri"/>
          <w:sz w:val="22"/>
          <w:szCs w:val="22"/>
          <w:u w:val="single"/>
        </w:rPr>
      </w:r>
      <w:r w:rsidR="00CC3865" w:rsidRPr="00CC3865">
        <w:rPr>
          <w:rFonts w:ascii="Calibri" w:hAnsi="Calibri"/>
          <w:sz w:val="22"/>
          <w:szCs w:val="22"/>
          <w:u w:val="single"/>
        </w:rPr>
        <w:fldChar w:fldCharType="separate"/>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cs="Arial Unicode MS"/>
          <w:noProof/>
          <w:sz w:val="22"/>
          <w:szCs w:val="22"/>
          <w:u w:val="single"/>
        </w:rPr>
        <w:t> </w:t>
      </w:r>
      <w:r w:rsidR="00CC3865" w:rsidRPr="00CC3865">
        <w:rPr>
          <w:rFonts w:ascii="Calibri" w:hAnsi="Calibri"/>
          <w:sz w:val="22"/>
          <w:szCs w:val="22"/>
          <w:u w:val="single"/>
        </w:rPr>
        <w:fldChar w:fldCharType="end"/>
      </w:r>
    </w:p>
    <w:sectPr w:rsidR="00C02003" w:rsidRPr="00483F27" w:rsidSect="00342073">
      <w:headerReference w:type="first" r:id="rId9"/>
      <w:footerReference w:type="first" r:id="rId10"/>
      <w:pgSz w:w="12240" w:h="15840" w:code="1"/>
      <w:pgMar w:top="720" w:right="720" w:bottom="720" w:left="720" w:header="432"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D0730" w14:textId="77777777" w:rsidR="0071760B" w:rsidRDefault="0071760B">
      <w:r>
        <w:separator/>
      </w:r>
    </w:p>
  </w:endnote>
  <w:endnote w:type="continuationSeparator" w:id="0">
    <w:p w14:paraId="740859F2" w14:textId="77777777" w:rsidR="0071760B" w:rsidRDefault="0071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A885" w14:textId="77777777" w:rsidR="00E6030F" w:rsidRDefault="00E6030F">
    <w:r>
      <w:rPr>
        <w:rFonts w:ascii="Calibri" w:hAnsi="Calibri"/>
        <w:sz w:val="16"/>
        <w:szCs w:val="16"/>
      </w:rPr>
      <w:t xml:space="preserve">HTC </w:t>
    </w:r>
    <w:r w:rsidRPr="00E6030F">
      <w:rPr>
        <w:rFonts w:ascii="Calibri" w:hAnsi="Calibri"/>
        <w:sz w:val="16"/>
        <w:szCs w:val="16"/>
      </w:rPr>
      <w:t>29</w:t>
    </w:r>
  </w:p>
  <w:tbl>
    <w:tblPr>
      <w:tblW w:w="10890" w:type="dxa"/>
      <w:tblLook w:val="01E0" w:firstRow="1" w:lastRow="1" w:firstColumn="1" w:lastColumn="1" w:noHBand="0" w:noVBand="0"/>
    </w:tblPr>
    <w:tblGrid>
      <w:gridCol w:w="4428"/>
      <w:gridCol w:w="2790"/>
      <w:gridCol w:w="3672"/>
    </w:tblGrid>
    <w:tr w:rsidR="00037C80" w:rsidRPr="00B0328B" w14:paraId="2DA15622" w14:textId="77777777" w:rsidTr="00C673B8">
      <w:tc>
        <w:tcPr>
          <w:tcW w:w="4428" w:type="dxa"/>
        </w:tcPr>
        <w:p w14:paraId="1E99D9AC" w14:textId="77777777" w:rsidR="00037C80" w:rsidRPr="00B0328B" w:rsidRDefault="00037C80" w:rsidP="00BF4842">
          <w:pPr>
            <w:pStyle w:val="Footer"/>
            <w:rPr>
              <w:rFonts w:ascii="Calibri" w:hAnsi="Calibri"/>
              <w:sz w:val="16"/>
              <w:szCs w:val="16"/>
            </w:rPr>
          </w:pPr>
          <w:r w:rsidRPr="00B0328B">
            <w:rPr>
              <w:rFonts w:ascii="Calibri" w:hAnsi="Calibri"/>
              <w:sz w:val="16"/>
              <w:szCs w:val="16"/>
            </w:rPr>
            <w:t xml:space="preserve">M &amp; O Expense Review </w:t>
          </w:r>
          <w:r w:rsidR="00BF4842">
            <w:rPr>
              <w:rFonts w:ascii="Calibri" w:hAnsi="Calibri"/>
              <w:sz w:val="16"/>
              <w:szCs w:val="16"/>
            </w:rPr>
            <w:t>and</w:t>
          </w:r>
          <w:r w:rsidR="00BF4842" w:rsidRPr="00B0328B">
            <w:rPr>
              <w:rFonts w:ascii="Calibri" w:hAnsi="Calibri"/>
              <w:sz w:val="16"/>
              <w:szCs w:val="16"/>
            </w:rPr>
            <w:t xml:space="preserve"> </w:t>
          </w:r>
          <w:r w:rsidRPr="00B0328B">
            <w:rPr>
              <w:rFonts w:ascii="Calibri" w:hAnsi="Calibri"/>
              <w:sz w:val="16"/>
              <w:szCs w:val="16"/>
            </w:rPr>
            <w:t xml:space="preserve">Underwriting Certification  </w:t>
          </w:r>
        </w:p>
      </w:tc>
      <w:tc>
        <w:tcPr>
          <w:tcW w:w="2790" w:type="dxa"/>
          <w:vAlign w:val="center"/>
        </w:tcPr>
        <w:p w14:paraId="0F406FC8" w14:textId="77777777" w:rsidR="00037C80" w:rsidRPr="00B0328B" w:rsidRDefault="00E6030F" w:rsidP="00803FC5">
          <w:pPr>
            <w:pStyle w:val="Footer"/>
            <w:jc w:val="center"/>
            <w:rPr>
              <w:rFonts w:ascii="Calibri" w:hAnsi="Calibri"/>
              <w:sz w:val="16"/>
              <w:szCs w:val="16"/>
            </w:rPr>
          </w:pPr>
          <w:r w:rsidRPr="008C52EB">
            <w:rPr>
              <w:rFonts w:ascii="Calibri" w:hAnsi="Calibri"/>
              <w:bCs/>
              <w:sz w:val="16"/>
            </w:rPr>
            <w:fldChar w:fldCharType="begin"/>
          </w:r>
          <w:r w:rsidRPr="008C52EB">
            <w:rPr>
              <w:rFonts w:ascii="Calibri" w:hAnsi="Calibri"/>
              <w:bCs/>
              <w:sz w:val="16"/>
            </w:rPr>
            <w:instrText xml:space="preserve"> PAGE </w:instrText>
          </w:r>
          <w:r w:rsidRPr="008C52EB">
            <w:rPr>
              <w:rFonts w:ascii="Calibri" w:hAnsi="Calibri"/>
              <w:bCs/>
              <w:sz w:val="16"/>
            </w:rPr>
            <w:fldChar w:fldCharType="separate"/>
          </w:r>
          <w:r w:rsidR="00A94CC3">
            <w:rPr>
              <w:rFonts w:ascii="Calibri" w:hAnsi="Calibri"/>
              <w:bCs/>
              <w:noProof/>
              <w:sz w:val="16"/>
            </w:rPr>
            <w:t>1</w:t>
          </w:r>
          <w:r w:rsidRPr="008C52EB">
            <w:rPr>
              <w:rFonts w:ascii="Calibri" w:hAnsi="Calibri"/>
              <w:bCs/>
              <w:sz w:val="16"/>
            </w:rPr>
            <w:fldChar w:fldCharType="end"/>
          </w:r>
          <w:r w:rsidRPr="008C52EB">
            <w:rPr>
              <w:rFonts w:ascii="Calibri" w:hAnsi="Calibri"/>
              <w:sz w:val="16"/>
            </w:rPr>
            <w:t xml:space="preserve"> of </w:t>
          </w:r>
          <w:r w:rsidRPr="008C52EB">
            <w:rPr>
              <w:rFonts w:ascii="Calibri" w:hAnsi="Calibri"/>
              <w:bCs/>
              <w:sz w:val="16"/>
            </w:rPr>
            <w:fldChar w:fldCharType="begin"/>
          </w:r>
          <w:r w:rsidRPr="008C52EB">
            <w:rPr>
              <w:rFonts w:ascii="Calibri" w:hAnsi="Calibri"/>
              <w:bCs/>
              <w:sz w:val="16"/>
            </w:rPr>
            <w:instrText xml:space="preserve"> NUMPAGES  </w:instrText>
          </w:r>
          <w:r w:rsidRPr="008C52EB">
            <w:rPr>
              <w:rFonts w:ascii="Calibri" w:hAnsi="Calibri"/>
              <w:bCs/>
              <w:sz w:val="16"/>
            </w:rPr>
            <w:fldChar w:fldCharType="separate"/>
          </w:r>
          <w:r w:rsidR="00A94CC3">
            <w:rPr>
              <w:rFonts w:ascii="Calibri" w:hAnsi="Calibri"/>
              <w:bCs/>
              <w:noProof/>
              <w:sz w:val="16"/>
            </w:rPr>
            <w:t>1</w:t>
          </w:r>
          <w:r w:rsidRPr="008C52EB">
            <w:rPr>
              <w:rFonts w:ascii="Calibri" w:hAnsi="Calibri"/>
              <w:bCs/>
              <w:sz w:val="16"/>
            </w:rPr>
            <w:fldChar w:fldCharType="end"/>
          </w:r>
        </w:p>
      </w:tc>
      <w:tc>
        <w:tcPr>
          <w:tcW w:w="3672" w:type="dxa"/>
          <w:vAlign w:val="center"/>
        </w:tcPr>
        <w:p w14:paraId="360D0C65" w14:textId="77777777" w:rsidR="00037C80" w:rsidRPr="00B0328B" w:rsidRDefault="00E6030F" w:rsidP="005E5F84">
          <w:pPr>
            <w:pStyle w:val="Footer"/>
            <w:jc w:val="right"/>
            <w:rPr>
              <w:rFonts w:ascii="Calibri" w:hAnsi="Calibri"/>
              <w:sz w:val="16"/>
              <w:szCs w:val="16"/>
            </w:rPr>
          </w:pPr>
          <w:r w:rsidRPr="00E6030F">
            <w:rPr>
              <w:rFonts w:ascii="Calibri" w:hAnsi="Calibri"/>
              <w:sz w:val="16"/>
              <w:szCs w:val="16"/>
            </w:rPr>
            <w:t>April 20</w:t>
          </w:r>
          <w:r w:rsidR="005E5F84">
            <w:rPr>
              <w:rFonts w:ascii="Calibri" w:hAnsi="Calibri"/>
              <w:sz w:val="16"/>
              <w:szCs w:val="16"/>
            </w:rPr>
            <w:t>20</w:t>
          </w:r>
        </w:p>
      </w:tc>
    </w:tr>
  </w:tbl>
  <w:p w14:paraId="21722F38" w14:textId="77777777" w:rsidR="00037C80" w:rsidRPr="00CC3865" w:rsidRDefault="00037C80" w:rsidP="0054430D">
    <w:pPr>
      <w:pStyle w:val="Footer"/>
      <w:rPr>
        <w:rFonts w:ascii="Calibri" w:hAnsi="Calibri"/>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87D7" w14:textId="77777777" w:rsidR="0071760B" w:rsidRDefault="0071760B">
      <w:r>
        <w:separator/>
      </w:r>
    </w:p>
  </w:footnote>
  <w:footnote w:type="continuationSeparator" w:id="0">
    <w:p w14:paraId="7BAA0DAF" w14:textId="77777777" w:rsidR="0071760B" w:rsidRDefault="00717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8"/>
      <w:gridCol w:w="5332"/>
    </w:tblGrid>
    <w:tr w:rsidR="00E65BCB" w14:paraId="51EB9AC3" w14:textId="77777777" w:rsidTr="00ED275F">
      <w:tc>
        <w:tcPr>
          <w:tcW w:w="5508" w:type="dxa"/>
          <w:vAlign w:val="center"/>
        </w:tcPr>
        <w:p w14:paraId="74A2E47A" w14:textId="77777777" w:rsidR="00E65BCB" w:rsidRDefault="008B1283" w:rsidP="00ED275F">
          <w:pPr>
            <w:pStyle w:val="Header"/>
          </w:pPr>
          <w:r>
            <w:rPr>
              <w:noProof/>
            </w:rPr>
            <w:drawing>
              <wp:inline distT="0" distB="0" distL="0" distR="0" wp14:anchorId="0C9161ED" wp14:editId="40666DE8">
                <wp:extent cx="2827020" cy="434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020" cy="434340"/>
                        </a:xfrm>
                        <a:prstGeom prst="rect">
                          <a:avLst/>
                        </a:prstGeom>
                        <a:noFill/>
                        <a:ln>
                          <a:noFill/>
                        </a:ln>
                      </pic:spPr>
                    </pic:pic>
                  </a:graphicData>
                </a:graphic>
              </wp:inline>
            </w:drawing>
          </w:r>
        </w:p>
      </w:tc>
      <w:tc>
        <w:tcPr>
          <w:tcW w:w="5508" w:type="dxa"/>
        </w:tcPr>
        <w:p w14:paraId="28240FA3" w14:textId="77777777" w:rsidR="00E65BCB" w:rsidRPr="00E65BCB" w:rsidRDefault="00E65BCB" w:rsidP="00E65BCB">
          <w:pPr>
            <w:pStyle w:val="Heading1"/>
            <w:jc w:val="right"/>
            <w:outlineLvl w:val="0"/>
            <w:rPr>
              <w:rFonts w:ascii="Calibri" w:hAnsi="Calibri"/>
            </w:rPr>
          </w:pPr>
          <w:r w:rsidRPr="00E65BCB">
            <w:rPr>
              <w:rFonts w:ascii="Calibri" w:hAnsi="Calibri"/>
            </w:rPr>
            <w:t>Housing Tax Credits</w:t>
          </w:r>
        </w:p>
        <w:p w14:paraId="0A78A8AD" w14:textId="77777777" w:rsidR="00E65BCB" w:rsidRPr="00ED275F" w:rsidRDefault="00E65BCB" w:rsidP="00DF7C41">
          <w:pPr>
            <w:pStyle w:val="Heading1"/>
            <w:jc w:val="right"/>
            <w:outlineLvl w:val="0"/>
            <w:rPr>
              <w:rFonts w:ascii="Calibri" w:hAnsi="Calibri"/>
            </w:rPr>
          </w:pPr>
          <w:r w:rsidRPr="00E65BCB">
            <w:rPr>
              <w:rFonts w:ascii="Calibri" w:hAnsi="Calibri"/>
            </w:rPr>
            <w:t xml:space="preserve">Management and Operating </w:t>
          </w:r>
          <w:r w:rsidR="00DF7C41">
            <w:rPr>
              <w:rFonts w:ascii="Calibri" w:hAnsi="Calibri"/>
            </w:rPr>
            <w:t xml:space="preserve">(M&amp;O) </w:t>
          </w:r>
          <w:r w:rsidRPr="00E65BCB">
            <w:rPr>
              <w:rFonts w:ascii="Calibri" w:hAnsi="Calibri"/>
            </w:rPr>
            <w:t xml:space="preserve">Expense Review </w:t>
          </w:r>
          <w:r w:rsidR="00ED275F">
            <w:rPr>
              <w:rFonts w:ascii="Calibri" w:hAnsi="Calibri"/>
            </w:rPr>
            <w:t>and Underwriting Certification</w:t>
          </w:r>
        </w:p>
      </w:tc>
    </w:tr>
  </w:tbl>
  <w:p w14:paraId="569D013B" w14:textId="77777777" w:rsidR="00E65BCB" w:rsidRDefault="00E65B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6A52"/>
    <w:multiLevelType w:val="hybridMultilevel"/>
    <w:tmpl w:val="7AE62A0A"/>
    <w:lvl w:ilvl="0" w:tplc="2B5CD538">
      <w:start w:val="2000"/>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693EC3"/>
    <w:multiLevelType w:val="hybridMultilevel"/>
    <w:tmpl w:val="7BE0D236"/>
    <w:lvl w:ilvl="0" w:tplc="04090003">
      <w:start w:val="1"/>
      <w:numFmt w:val="bullet"/>
      <w:lvlText w:val="o"/>
      <w:lvlJc w:val="left"/>
      <w:pPr>
        <w:ind w:left="1125" w:hanging="360"/>
      </w:pPr>
      <w:rPr>
        <w:rFonts w:ascii="Courier New" w:hAnsi="Courier New"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KPUWfsNXbnyZMS0habcsR1EMdg4=" w:salt="SB/uKZ2e/na6c7fFqLJ7Zg=="/>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34"/>
    <w:rsid w:val="00003E76"/>
    <w:rsid w:val="000211FA"/>
    <w:rsid w:val="00037C80"/>
    <w:rsid w:val="00056381"/>
    <w:rsid w:val="0006223D"/>
    <w:rsid w:val="0007126E"/>
    <w:rsid w:val="00076EED"/>
    <w:rsid w:val="000860D9"/>
    <w:rsid w:val="000C41A5"/>
    <w:rsid w:val="000C6269"/>
    <w:rsid w:val="000E64E1"/>
    <w:rsid w:val="000E786F"/>
    <w:rsid w:val="00102256"/>
    <w:rsid w:val="00105AFD"/>
    <w:rsid w:val="0011444B"/>
    <w:rsid w:val="00117090"/>
    <w:rsid w:val="00132D3D"/>
    <w:rsid w:val="00133293"/>
    <w:rsid w:val="001677E3"/>
    <w:rsid w:val="00173E87"/>
    <w:rsid w:val="0019278E"/>
    <w:rsid w:val="00197534"/>
    <w:rsid w:val="001A5BA6"/>
    <w:rsid w:val="001B210A"/>
    <w:rsid w:val="001B5CA1"/>
    <w:rsid w:val="001C69F1"/>
    <w:rsid w:val="001D1674"/>
    <w:rsid w:val="001E4A62"/>
    <w:rsid w:val="001F3384"/>
    <w:rsid w:val="001F7415"/>
    <w:rsid w:val="00205C67"/>
    <w:rsid w:val="002103E1"/>
    <w:rsid w:val="00214108"/>
    <w:rsid w:val="0022032C"/>
    <w:rsid w:val="002244A2"/>
    <w:rsid w:val="00240C9B"/>
    <w:rsid w:val="00251EE2"/>
    <w:rsid w:val="00265FD1"/>
    <w:rsid w:val="00270A84"/>
    <w:rsid w:val="00270F7C"/>
    <w:rsid w:val="00275EB8"/>
    <w:rsid w:val="002A15F9"/>
    <w:rsid w:val="002A46AB"/>
    <w:rsid w:val="002C51E6"/>
    <w:rsid w:val="002D4D98"/>
    <w:rsid w:val="002F2BF3"/>
    <w:rsid w:val="003032B7"/>
    <w:rsid w:val="0032218B"/>
    <w:rsid w:val="00323630"/>
    <w:rsid w:val="00336B12"/>
    <w:rsid w:val="00342073"/>
    <w:rsid w:val="0034732D"/>
    <w:rsid w:val="0035005A"/>
    <w:rsid w:val="0036617A"/>
    <w:rsid w:val="00370C77"/>
    <w:rsid w:val="00372A5F"/>
    <w:rsid w:val="00380E9D"/>
    <w:rsid w:val="003970F4"/>
    <w:rsid w:val="003A03F5"/>
    <w:rsid w:val="003C2C81"/>
    <w:rsid w:val="003C6087"/>
    <w:rsid w:val="003F5868"/>
    <w:rsid w:val="00400AE8"/>
    <w:rsid w:val="00411BCC"/>
    <w:rsid w:val="00433FE2"/>
    <w:rsid w:val="00434B00"/>
    <w:rsid w:val="0044547A"/>
    <w:rsid w:val="004507CC"/>
    <w:rsid w:val="004662ED"/>
    <w:rsid w:val="0046727E"/>
    <w:rsid w:val="00476734"/>
    <w:rsid w:val="004810B1"/>
    <w:rsid w:val="00483F27"/>
    <w:rsid w:val="004916D1"/>
    <w:rsid w:val="00493A9C"/>
    <w:rsid w:val="004965DB"/>
    <w:rsid w:val="004A0EC3"/>
    <w:rsid w:val="004A6153"/>
    <w:rsid w:val="004B4798"/>
    <w:rsid w:val="004C2BDC"/>
    <w:rsid w:val="004C3011"/>
    <w:rsid w:val="004E5783"/>
    <w:rsid w:val="0054430D"/>
    <w:rsid w:val="00563267"/>
    <w:rsid w:val="00567906"/>
    <w:rsid w:val="00577034"/>
    <w:rsid w:val="00586503"/>
    <w:rsid w:val="005D25F6"/>
    <w:rsid w:val="005E5F84"/>
    <w:rsid w:val="005E66E2"/>
    <w:rsid w:val="005F05D5"/>
    <w:rsid w:val="00611B42"/>
    <w:rsid w:val="006135E0"/>
    <w:rsid w:val="006320B7"/>
    <w:rsid w:val="00651359"/>
    <w:rsid w:val="00697F53"/>
    <w:rsid w:val="006D0876"/>
    <w:rsid w:val="006D46FC"/>
    <w:rsid w:val="006D582B"/>
    <w:rsid w:val="006D6196"/>
    <w:rsid w:val="006E4A63"/>
    <w:rsid w:val="00703602"/>
    <w:rsid w:val="00707D44"/>
    <w:rsid w:val="0071760B"/>
    <w:rsid w:val="007339F4"/>
    <w:rsid w:val="00733F6E"/>
    <w:rsid w:val="00744199"/>
    <w:rsid w:val="007446E8"/>
    <w:rsid w:val="00762DD2"/>
    <w:rsid w:val="00766350"/>
    <w:rsid w:val="00774E2A"/>
    <w:rsid w:val="00793C16"/>
    <w:rsid w:val="00797ED1"/>
    <w:rsid w:val="007A04BE"/>
    <w:rsid w:val="007B6CC6"/>
    <w:rsid w:val="007B6FD2"/>
    <w:rsid w:val="007C1711"/>
    <w:rsid w:val="007C32B9"/>
    <w:rsid w:val="007D612E"/>
    <w:rsid w:val="007E175E"/>
    <w:rsid w:val="007E2CD9"/>
    <w:rsid w:val="007F1551"/>
    <w:rsid w:val="007F5837"/>
    <w:rsid w:val="00803FC5"/>
    <w:rsid w:val="00813235"/>
    <w:rsid w:val="00817F14"/>
    <w:rsid w:val="00827B79"/>
    <w:rsid w:val="0084473F"/>
    <w:rsid w:val="008464D6"/>
    <w:rsid w:val="00855F24"/>
    <w:rsid w:val="0086537D"/>
    <w:rsid w:val="00873505"/>
    <w:rsid w:val="0088129C"/>
    <w:rsid w:val="008A0C7C"/>
    <w:rsid w:val="008B1283"/>
    <w:rsid w:val="008B71D0"/>
    <w:rsid w:val="008C52EB"/>
    <w:rsid w:val="008D0C78"/>
    <w:rsid w:val="008E5010"/>
    <w:rsid w:val="008F024F"/>
    <w:rsid w:val="009078B9"/>
    <w:rsid w:val="009373F6"/>
    <w:rsid w:val="0094428F"/>
    <w:rsid w:val="009501B3"/>
    <w:rsid w:val="00973E3E"/>
    <w:rsid w:val="009C6122"/>
    <w:rsid w:val="009D47AA"/>
    <w:rsid w:val="009D7544"/>
    <w:rsid w:val="00A04C98"/>
    <w:rsid w:val="00A1604F"/>
    <w:rsid w:val="00A2114B"/>
    <w:rsid w:val="00A3089D"/>
    <w:rsid w:val="00A73C41"/>
    <w:rsid w:val="00A77C70"/>
    <w:rsid w:val="00A92D56"/>
    <w:rsid w:val="00A94CC3"/>
    <w:rsid w:val="00AA6CD3"/>
    <w:rsid w:val="00AA6E9D"/>
    <w:rsid w:val="00AD2BA2"/>
    <w:rsid w:val="00AD2ED1"/>
    <w:rsid w:val="00AF031F"/>
    <w:rsid w:val="00AF2290"/>
    <w:rsid w:val="00AF7BE1"/>
    <w:rsid w:val="00B01A34"/>
    <w:rsid w:val="00B0328B"/>
    <w:rsid w:val="00B152B7"/>
    <w:rsid w:val="00B516D3"/>
    <w:rsid w:val="00B5424E"/>
    <w:rsid w:val="00B544DA"/>
    <w:rsid w:val="00B73483"/>
    <w:rsid w:val="00B9072C"/>
    <w:rsid w:val="00B91495"/>
    <w:rsid w:val="00B96EB8"/>
    <w:rsid w:val="00B96EFD"/>
    <w:rsid w:val="00BA4575"/>
    <w:rsid w:val="00BA5DE1"/>
    <w:rsid w:val="00BB14CB"/>
    <w:rsid w:val="00BE0E75"/>
    <w:rsid w:val="00BE48D6"/>
    <w:rsid w:val="00BF1915"/>
    <w:rsid w:val="00BF4842"/>
    <w:rsid w:val="00C015E5"/>
    <w:rsid w:val="00C02003"/>
    <w:rsid w:val="00C07F37"/>
    <w:rsid w:val="00C267B5"/>
    <w:rsid w:val="00C46685"/>
    <w:rsid w:val="00C53554"/>
    <w:rsid w:val="00C542B2"/>
    <w:rsid w:val="00C54F0F"/>
    <w:rsid w:val="00C556F6"/>
    <w:rsid w:val="00C57F01"/>
    <w:rsid w:val="00C6358B"/>
    <w:rsid w:val="00C673B8"/>
    <w:rsid w:val="00C764DA"/>
    <w:rsid w:val="00C77417"/>
    <w:rsid w:val="00CA3188"/>
    <w:rsid w:val="00CA603F"/>
    <w:rsid w:val="00CB07A0"/>
    <w:rsid w:val="00CC1B93"/>
    <w:rsid w:val="00CC3865"/>
    <w:rsid w:val="00CE3B3C"/>
    <w:rsid w:val="00CE3D3E"/>
    <w:rsid w:val="00D00040"/>
    <w:rsid w:val="00D0714D"/>
    <w:rsid w:val="00D10E82"/>
    <w:rsid w:val="00D1566C"/>
    <w:rsid w:val="00D23A36"/>
    <w:rsid w:val="00D276FB"/>
    <w:rsid w:val="00D46F73"/>
    <w:rsid w:val="00D73435"/>
    <w:rsid w:val="00D93457"/>
    <w:rsid w:val="00D9777D"/>
    <w:rsid w:val="00DA2BB3"/>
    <w:rsid w:val="00DB0819"/>
    <w:rsid w:val="00DB1E2A"/>
    <w:rsid w:val="00DB2849"/>
    <w:rsid w:val="00DB5DA8"/>
    <w:rsid w:val="00DB78B7"/>
    <w:rsid w:val="00DC10C5"/>
    <w:rsid w:val="00DE6B17"/>
    <w:rsid w:val="00DF7C41"/>
    <w:rsid w:val="00E05EC6"/>
    <w:rsid w:val="00E12C6E"/>
    <w:rsid w:val="00E13EAA"/>
    <w:rsid w:val="00E16443"/>
    <w:rsid w:val="00E24B7A"/>
    <w:rsid w:val="00E26577"/>
    <w:rsid w:val="00E47D6C"/>
    <w:rsid w:val="00E52BF4"/>
    <w:rsid w:val="00E6030F"/>
    <w:rsid w:val="00E6384C"/>
    <w:rsid w:val="00E65BCB"/>
    <w:rsid w:val="00E7635F"/>
    <w:rsid w:val="00E77742"/>
    <w:rsid w:val="00E95107"/>
    <w:rsid w:val="00EC613D"/>
    <w:rsid w:val="00ED275F"/>
    <w:rsid w:val="00EE0083"/>
    <w:rsid w:val="00EE1916"/>
    <w:rsid w:val="00F33170"/>
    <w:rsid w:val="00F34A65"/>
    <w:rsid w:val="00F3542F"/>
    <w:rsid w:val="00F63D5F"/>
    <w:rsid w:val="00F644DF"/>
    <w:rsid w:val="00F92B1D"/>
    <w:rsid w:val="00FA6025"/>
    <w:rsid w:val="00FA66F2"/>
    <w:rsid w:val="00FB4C63"/>
    <w:rsid w:val="00FD69E4"/>
    <w:rsid w:val="00FE6AEF"/>
    <w:rsid w:val="00FF0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88CB07"/>
  <w14:defaultImageDpi w14:val="0"/>
  <w15:docId w15:val="{DB8813B4-BCAC-43D7-86E8-6126613E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0" w:line="240" w:lineRule="auto"/>
      <w:textAlignment w:val="baseline"/>
    </w:pPr>
    <w:rPr>
      <w:sz w:val="24"/>
      <w:szCs w:val="24"/>
    </w:rPr>
  </w:style>
  <w:style w:type="paragraph" w:styleId="Heading1">
    <w:name w:val="heading 1"/>
    <w:basedOn w:val="Normal"/>
    <w:next w:val="Normal"/>
    <w:link w:val="Heading1Char"/>
    <w:uiPriority w:val="99"/>
    <w:qFormat/>
    <w:rsid w:val="001F3384"/>
    <w:pPr>
      <w:keepNext/>
      <w:outlineLvl w:val="0"/>
    </w:pPr>
    <w:rPr>
      <w:rFonts w:ascii="Verdana" w:hAnsi="Verdana"/>
      <w:b/>
      <w:bCs/>
      <w:sz w:val="28"/>
      <w:szCs w:val="28"/>
    </w:rPr>
  </w:style>
  <w:style w:type="paragraph" w:styleId="Heading2">
    <w:name w:val="heading 2"/>
    <w:basedOn w:val="Normal"/>
    <w:next w:val="Normal"/>
    <w:link w:val="Heading2Char"/>
    <w:uiPriority w:val="99"/>
    <w:qFormat/>
    <w:pPr>
      <w:keepNext/>
      <w:jc w:val="center"/>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w:sz w:val="24"/>
      <w:szCs w:val="24"/>
    </w:rPr>
  </w:style>
  <w:style w:type="character" w:styleId="PageNumber">
    <w:name w:val="page number"/>
    <w:basedOn w:val="DefaultParagraphFont"/>
    <w:uiPriority w:val="99"/>
    <w:rPr>
      <w:rFonts w:cs="Times New Roman"/>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w:sz w:val="20"/>
      <w:szCs w:val="20"/>
    </w:rPr>
  </w:style>
  <w:style w:type="paragraph" w:styleId="Title">
    <w:name w:val="Title"/>
    <w:basedOn w:val="Normal"/>
    <w:link w:val="TitleChar"/>
    <w:uiPriority w:val="99"/>
    <w:qFormat/>
    <w:pPr>
      <w:jc w:val="center"/>
    </w:pPr>
    <w:rPr>
      <w:b/>
      <w:bCs/>
      <w:sz w:val="23"/>
      <w:szCs w:val="23"/>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rPr>
      <w:sz w:val="14"/>
      <w:szCs w:val="14"/>
    </w:rPr>
  </w:style>
  <w:style w:type="character" w:customStyle="1" w:styleId="BodyTextChar">
    <w:name w:val="Body Text Char"/>
    <w:basedOn w:val="DefaultParagraphFont"/>
    <w:link w:val="BodyText"/>
    <w:uiPriority w:val="99"/>
    <w:semiHidden/>
    <w:locked/>
    <w:rPr>
      <w:rFonts w:cs="Times"/>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table" w:styleId="TableGrid">
    <w:name w:val="Table Grid"/>
    <w:basedOn w:val="TableNormal"/>
    <w:uiPriority w:val="99"/>
    <w:rsid w:val="0054430D"/>
    <w:pPr>
      <w:overflowPunct w:val="0"/>
      <w:autoSpaceDE w:val="0"/>
      <w:autoSpaceDN w:val="0"/>
      <w:adjustRightInd w:val="0"/>
      <w:spacing w:after="0" w:line="240" w:lineRule="auto"/>
      <w:textAlignment w:val="baseline"/>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77E3"/>
    <w:rPr>
      <w:rFonts w:cs="Times New Roman"/>
      <w:color w:val="0000FF" w:themeColor="hyperlink"/>
      <w:u w:val="single"/>
    </w:rPr>
  </w:style>
  <w:style w:type="paragraph" w:styleId="CommentSubject">
    <w:name w:val="annotation subject"/>
    <w:basedOn w:val="CommentText"/>
    <w:next w:val="CommentText"/>
    <w:link w:val="CommentSubjectChar"/>
    <w:uiPriority w:val="99"/>
    <w:semiHidden/>
    <w:unhideWhenUsed/>
    <w:rsid w:val="00C764DA"/>
    <w:rPr>
      <w:b/>
      <w:bCs/>
    </w:rPr>
  </w:style>
  <w:style w:type="character" w:customStyle="1" w:styleId="CommentSubjectChar">
    <w:name w:val="Comment Subject Char"/>
    <w:basedOn w:val="CommentTextChar"/>
    <w:link w:val="CommentSubject"/>
    <w:uiPriority w:val="99"/>
    <w:semiHidden/>
    <w:locked/>
    <w:rsid w:val="00C764DA"/>
    <w:rPr>
      <w:rFonts w:cs="Times"/>
      <w:b/>
      <w:bCs/>
      <w:sz w:val="20"/>
      <w:szCs w:val="20"/>
    </w:rPr>
  </w:style>
  <w:style w:type="paragraph" w:styleId="Revision">
    <w:name w:val="Revision"/>
    <w:hidden/>
    <w:uiPriority w:val="99"/>
    <w:semiHidden/>
    <w:rsid w:val="00342073"/>
    <w:pPr>
      <w:spacing w:after="0" w:line="240" w:lineRule="auto"/>
    </w:pPr>
    <w:rPr>
      <w:sz w:val="24"/>
      <w:szCs w:val="24"/>
    </w:rPr>
  </w:style>
  <w:style w:type="character" w:styleId="FollowedHyperlink">
    <w:name w:val="FollowedHyperlink"/>
    <w:basedOn w:val="DefaultParagraphFont"/>
    <w:uiPriority w:val="99"/>
    <w:semiHidden/>
    <w:unhideWhenUsed/>
    <w:rsid w:val="00B0328B"/>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69263">
      <w:marLeft w:val="0"/>
      <w:marRight w:val="0"/>
      <w:marTop w:val="0"/>
      <w:marBottom w:val="0"/>
      <w:divBdr>
        <w:top w:val="none" w:sz="0" w:space="0" w:color="auto"/>
        <w:left w:val="none" w:sz="0" w:space="0" w:color="auto"/>
        <w:bottom w:val="none" w:sz="0" w:space="0" w:color="auto"/>
        <w:right w:val="none" w:sz="0" w:space="0" w:color="auto"/>
      </w:divBdr>
    </w:div>
    <w:div w:id="847692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nhousing.gov/sites/multifamily/applicationre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F91FC-E2C2-46E2-AF2F-578BD555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______(Complete on Lender Letterhead)__</vt:lpstr>
    </vt:vector>
  </TitlesOfParts>
  <Company>Minnesota Housing Finance Agency</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______(Complete on Lender Letterhead)__</dc:title>
  <dc:subject/>
  <dc:creator>Information Systems</dc:creator>
  <cp:keywords/>
  <dc:description>Placed to Morrison folder 3/18/05</dc:description>
  <cp:lastModifiedBy>King, Crystal (CI-StPaul)</cp:lastModifiedBy>
  <cp:revision>2</cp:revision>
  <cp:lastPrinted>2008-04-17T18:16:00Z</cp:lastPrinted>
  <dcterms:created xsi:type="dcterms:W3CDTF">2022-06-16T16:23:00Z</dcterms:created>
  <dcterms:modified xsi:type="dcterms:W3CDTF">2022-06-16T16:23:00Z</dcterms:modified>
</cp:coreProperties>
</file>