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CFF" w:rsidRPr="006913AE" w:rsidRDefault="00463CFF">
      <w:pPr>
        <w:pStyle w:val="Heading1"/>
        <w:pBdr>
          <w:top w:val="single" w:sz="4" w:space="1" w:color="auto"/>
          <w:left w:val="single" w:sz="4" w:space="4" w:color="auto"/>
          <w:bottom w:val="single" w:sz="4" w:space="1" w:color="auto"/>
          <w:right w:val="single" w:sz="4" w:space="4" w:color="auto"/>
        </w:pBdr>
        <w:jc w:val="center"/>
        <w:rPr>
          <w:sz w:val="24"/>
          <w:u w:val="single"/>
          <w:lang w:val="es-ES"/>
        </w:rPr>
      </w:pPr>
      <w:bookmarkStart w:id="0" w:name="_GoBack"/>
      <w:bookmarkEnd w:id="0"/>
      <w:r>
        <w:rPr>
          <w:sz w:val="24"/>
          <w:u w:val="single"/>
          <w:lang w:val="es-ES"/>
        </w:rPr>
        <w:t>Of</w:t>
      </w:r>
      <w:r w:rsidRPr="006913AE">
        <w:rPr>
          <w:sz w:val="24"/>
          <w:u w:val="single"/>
          <w:lang w:val="es-ES"/>
        </w:rPr>
        <w:t>ic</w:t>
      </w:r>
      <w:r>
        <w:rPr>
          <w:sz w:val="24"/>
          <w:u w:val="single"/>
          <w:lang w:val="es-ES"/>
        </w:rPr>
        <w:t xml:space="preserve">ina del Fiscal Municipal de </w:t>
      </w:r>
      <w:r w:rsidRPr="006913AE">
        <w:rPr>
          <w:sz w:val="24"/>
          <w:u w:val="single"/>
          <w:lang w:val="es-ES"/>
        </w:rPr>
        <w:t>Saint Paul</w:t>
      </w:r>
    </w:p>
    <w:p w:rsidR="00463CFF" w:rsidRPr="006913AE" w:rsidRDefault="00463CFF">
      <w:pPr>
        <w:pStyle w:val="Heading1"/>
        <w:pBdr>
          <w:top w:val="single" w:sz="4" w:space="1" w:color="auto"/>
          <w:left w:val="single" w:sz="4" w:space="4" w:color="auto"/>
          <w:bottom w:val="single" w:sz="4" w:space="1" w:color="auto"/>
          <w:right w:val="single" w:sz="4" w:space="4" w:color="auto"/>
        </w:pBdr>
        <w:jc w:val="center"/>
        <w:rPr>
          <w:sz w:val="24"/>
          <w:lang w:val="es-ES"/>
        </w:rPr>
      </w:pPr>
      <w:r w:rsidRPr="006913AE">
        <w:rPr>
          <w:sz w:val="24"/>
          <w:lang w:val="es-ES"/>
        </w:rPr>
        <w:t>Preguntas frecuentes</w:t>
      </w:r>
    </w:p>
    <w:p w:rsidR="00463CFF" w:rsidRPr="006913AE" w:rsidRDefault="00463CFF" w:rsidP="00D6047E">
      <w:pPr>
        <w:rPr>
          <w:b/>
          <w:sz w:val="24"/>
          <w:lang w:val="es-ES"/>
        </w:rPr>
      </w:pPr>
    </w:p>
    <w:p w:rsidR="00463CFF" w:rsidRPr="00225FA3" w:rsidRDefault="00463CFF">
      <w:pPr>
        <w:numPr>
          <w:ilvl w:val="0"/>
          <w:numId w:val="19"/>
        </w:numPr>
        <w:rPr>
          <w:b/>
          <w:sz w:val="23"/>
          <w:szCs w:val="23"/>
          <w:lang w:val="es-ES"/>
        </w:rPr>
      </w:pPr>
      <w:r w:rsidRPr="00225FA3">
        <w:rPr>
          <w:b/>
          <w:sz w:val="23"/>
          <w:szCs w:val="23"/>
          <w:lang w:val="es-ES"/>
        </w:rPr>
        <w:t>¿Por qué se me solicita que comparezca ante el tribunal?</w:t>
      </w:r>
    </w:p>
    <w:p w:rsidR="00463CFF" w:rsidRPr="00225FA3" w:rsidRDefault="00463CFF" w:rsidP="00732997">
      <w:pPr>
        <w:ind w:left="360"/>
        <w:rPr>
          <w:sz w:val="23"/>
          <w:szCs w:val="23"/>
          <w:lang w:val="es-ES"/>
        </w:rPr>
      </w:pPr>
      <w:r w:rsidRPr="00225FA3">
        <w:rPr>
          <w:sz w:val="23"/>
          <w:szCs w:val="23"/>
          <w:lang w:val="es-ES"/>
        </w:rPr>
        <w:t xml:space="preserve">Nuestra oficina ha recibido su nombre como el de una víctima o </w:t>
      </w:r>
      <w:r w:rsidR="00E67DB6">
        <w:rPr>
          <w:sz w:val="23"/>
          <w:szCs w:val="23"/>
          <w:lang w:val="es-ES"/>
        </w:rPr>
        <w:t xml:space="preserve">un </w:t>
      </w:r>
      <w:r w:rsidRPr="00225FA3">
        <w:rPr>
          <w:sz w:val="23"/>
          <w:szCs w:val="23"/>
          <w:lang w:val="es-ES"/>
        </w:rPr>
        <w:t>testigo de un incidente que tuvo como resultado la presentación de cargos penales e involucró al acusado mencionado en la citación.  El fiscal (abogado) que está llevando adelante el caso cree que usted tiene información que será útil para demostrar qué fue lo que sucedió el día del incidente.</w:t>
      </w:r>
    </w:p>
    <w:p w:rsidR="00463CFF" w:rsidRPr="00225FA3" w:rsidRDefault="00463CFF" w:rsidP="00732997">
      <w:pPr>
        <w:ind w:left="360"/>
        <w:rPr>
          <w:b/>
          <w:sz w:val="23"/>
          <w:szCs w:val="23"/>
          <w:lang w:val="es-ES"/>
        </w:rPr>
      </w:pPr>
    </w:p>
    <w:p w:rsidR="00463CFF" w:rsidRPr="00225FA3" w:rsidRDefault="00463CFF">
      <w:pPr>
        <w:numPr>
          <w:ilvl w:val="0"/>
          <w:numId w:val="19"/>
        </w:numPr>
        <w:rPr>
          <w:b/>
          <w:sz w:val="23"/>
          <w:szCs w:val="23"/>
          <w:lang w:val="es-ES"/>
        </w:rPr>
      </w:pPr>
      <w:r w:rsidRPr="00225FA3">
        <w:rPr>
          <w:b/>
          <w:sz w:val="23"/>
          <w:szCs w:val="23"/>
          <w:lang w:val="es-ES"/>
        </w:rPr>
        <w:t>¿Qué es una citación?</w:t>
      </w:r>
    </w:p>
    <w:p w:rsidR="00463CFF" w:rsidRPr="00225FA3" w:rsidRDefault="00463CFF" w:rsidP="00472EDF">
      <w:pPr>
        <w:ind w:left="360"/>
        <w:rPr>
          <w:sz w:val="23"/>
          <w:szCs w:val="23"/>
          <w:lang w:val="es-ES"/>
        </w:rPr>
      </w:pPr>
      <w:r w:rsidRPr="00225FA3">
        <w:rPr>
          <w:sz w:val="23"/>
          <w:szCs w:val="23"/>
          <w:lang w:val="es-ES"/>
        </w:rPr>
        <w:t xml:space="preserve">Una citación es una orden de un Tribunal exigiéndole que comparezca en un </w:t>
      </w:r>
      <w:r>
        <w:rPr>
          <w:sz w:val="23"/>
          <w:szCs w:val="23"/>
          <w:lang w:val="es-ES"/>
        </w:rPr>
        <w:t>lugar</w:t>
      </w:r>
      <w:r w:rsidRPr="00225FA3">
        <w:rPr>
          <w:sz w:val="23"/>
          <w:szCs w:val="23"/>
          <w:lang w:val="es-ES"/>
        </w:rPr>
        <w:t xml:space="preserve">, una fecha y una hora determinados para </w:t>
      </w:r>
      <w:r>
        <w:rPr>
          <w:sz w:val="23"/>
          <w:szCs w:val="23"/>
          <w:lang w:val="es-ES"/>
        </w:rPr>
        <w:t>prestar declaración</w:t>
      </w:r>
      <w:r w:rsidRPr="00225FA3">
        <w:rPr>
          <w:sz w:val="23"/>
          <w:szCs w:val="23"/>
          <w:lang w:val="es-ES"/>
        </w:rPr>
        <w:t xml:space="preserve"> en un caso penal. </w:t>
      </w:r>
    </w:p>
    <w:p w:rsidR="00463CFF" w:rsidRPr="00225FA3" w:rsidRDefault="00463CFF" w:rsidP="00472EDF">
      <w:pPr>
        <w:ind w:left="360"/>
        <w:rPr>
          <w:sz w:val="23"/>
          <w:szCs w:val="23"/>
          <w:lang w:val="es-ES"/>
        </w:rPr>
      </w:pPr>
    </w:p>
    <w:p w:rsidR="00463CFF" w:rsidRPr="00225FA3" w:rsidRDefault="00463CFF">
      <w:pPr>
        <w:numPr>
          <w:ilvl w:val="0"/>
          <w:numId w:val="19"/>
        </w:numPr>
        <w:rPr>
          <w:b/>
          <w:sz w:val="23"/>
          <w:szCs w:val="23"/>
          <w:lang w:val="es-ES"/>
        </w:rPr>
      </w:pPr>
      <w:r w:rsidRPr="00225FA3">
        <w:rPr>
          <w:b/>
          <w:sz w:val="23"/>
          <w:szCs w:val="23"/>
          <w:lang w:val="es-ES"/>
        </w:rPr>
        <w:t xml:space="preserve">¿Por qué este caso será programado para </w:t>
      </w:r>
      <w:r>
        <w:rPr>
          <w:b/>
          <w:sz w:val="23"/>
          <w:szCs w:val="23"/>
          <w:lang w:val="es-ES"/>
        </w:rPr>
        <w:t>ser elevado</w:t>
      </w:r>
      <w:r w:rsidRPr="00225FA3">
        <w:rPr>
          <w:b/>
          <w:sz w:val="23"/>
          <w:szCs w:val="23"/>
          <w:lang w:val="es-ES"/>
        </w:rPr>
        <w:t xml:space="preserve"> a juicio?</w:t>
      </w:r>
    </w:p>
    <w:p w:rsidR="00463CFF" w:rsidRPr="00225FA3" w:rsidRDefault="00463CFF">
      <w:pPr>
        <w:pStyle w:val="BodyTextIndent"/>
        <w:rPr>
          <w:sz w:val="23"/>
          <w:szCs w:val="23"/>
          <w:lang w:val="es-ES"/>
        </w:rPr>
      </w:pPr>
      <w:r w:rsidRPr="00225FA3">
        <w:rPr>
          <w:sz w:val="23"/>
          <w:szCs w:val="23"/>
          <w:lang w:val="es-ES"/>
        </w:rPr>
        <w:t xml:space="preserve">Este caso será programado para </w:t>
      </w:r>
      <w:r>
        <w:rPr>
          <w:sz w:val="23"/>
          <w:szCs w:val="23"/>
          <w:lang w:val="es-ES"/>
        </w:rPr>
        <w:t>ser elevado</w:t>
      </w:r>
      <w:r w:rsidRPr="00225FA3">
        <w:rPr>
          <w:sz w:val="23"/>
          <w:szCs w:val="23"/>
          <w:lang w:val="es-ES"/>
        </w:rPr>
        <w:t xml:space="preserve"> a juicio porque el acusado se ha declarado inocente de los delitos que se le imputan.  Las personas imputadas por delitos tienen derecho a solicitar que el fiscal prueb</w:t>
      </w:r>
      <w:r>
        <w:rPr>
          <w:sz w:val="23"/>
          <w:szCs w:val="23"/>
          <w:lang w:val="es-ES"/>
        </w:rPr>
        <w:t>e</w:t>
      </w:r>
      <w:r w:rsidRPr="00225FA3">
        <w:rPr>
          <w:sz w:val="23"/>
          <w:szCs w:val="23"/>
          <w:lang w:val="es-ES"/>
        </w:rPr>
        <w:t xml:space="preserve"> ante un jurado o un juez que es culpable de haber cometido un delito más allá de toda duda razonable.  </w:t>
      </w:r>
    </w:p>
    <w:p w:rsidR="00463CFF" w:rsidRPr="00225FA3" w:rsidRDefault="00463CFF" w:rsidP="002E2B22">
      <w:pPr>
        <w:ind w:left="360"/>
        <w:rPr>
          <w:b/>
          <w:sz w:val="23"/>
          <w:szCs w:val="23"/>
          <w:lang w:val="es-ES"/>
        </w:rPr>
      </w:pPr>
    </w:p>
    <w:p w:rsidR="00463CFF" w:rsidRPr="00225FA3" w:rsidRDefault="00463CFF" w:rsidP="002E2B22">
      <w:pPr>
        <w:numPr>
          <w:ilvl w:val="0"/>
          <w:numId w:val="5"/>
        </w:numPr>
        <w:rPr>
          <w:b/>
          <w:sz w:val="23"/>
          <w:szCs w:val="23"/>
          <w:lang w:val="es-ES"/>
        </w:rPr>
      </w:pPr>
      <w:r w:rsidRPr="00225FA3">
        <w:rPr>
          <w:b/>
          <w:sz w:val="23"/>
          <w:szCs w:val="23"/>
          <w:lang w:val="es-ES"/>
        </w:rPr>
        <w:t>¿Con quién debo hablar en relación con este caso?</w:t>
      </w:r>
    </w:p>
    <w:p w:rsidR="00463CFF" w:rsidRPr="00225FA3" w:rsidRDefault="00463CFF" w:rsidP="00DA0913">
      <w:pPr>
        <w:pStyle w:val="BodyTextIndent"/>
        <w:rPr>
          <w:sz w:val="23"/>
          <w:szCs w:val="23"/>
          <w:lang w:val="es-ES"/>
        </w:rPr>
      </w:pPr>
      <w:r w:rsidRPr="00225FA3">
        <w:rPr>
          <w:sz w:val="23"/>
          <w:szCs w:val="23"/>
          <w:lang w:val="es-ES"/>
        </w:rPr>
        <w:t>En su citación se incluye el nombre y el número de teléfono del Coordinador de Víctimas y Testigos que ha sido asignado al caso.</w:t>
      </w:r>
    </w:p>
    <w:p w:rsidR="00463CFF" w:rsidRPr="00225FA3" w:rsidRDefault="00463CFF" w:rsidP="00DA0913">
      <w:pPr>
        <w:pStyle w:val="BodyTextIndent"/>
        <w:rPr>
          <w:sz w:val="23"/>
          <w:szCs w:val="23"/>
          <w:lang w:val="es-ES"/>
        </w:rPr>
      </w:pPr>
    </w:p>
    <w:p w:rsidR="00463CFF" w:rsidRPr="00225FA3" w:rsidRDefault="00463CFF" w:rsidP="003256C0">
      <w:pPr>
        <w:numPr>
          <w:ilvl w:val="0"/>
          <w:numId w:val="4"/>
        </w:numPr>
        <w:ind w:left="360"/>
        <w:rPr>
          <w:b/>
          <w:sz w:val="23"/>
          <w:szCs w:val="23"/>
          <w:lang w:val="es-ES"/>
        </w:rPr>
      </w:pPr>
      <w:r w:rsidRPr="00225FA3">
        <w:rPr>
          <w:b/>
          <w:sz w:val="23"/>
          <w:szCs w:val="23"/>
          <w:lang w:val="es-ES"/>
        </w:rPr>
        <w:t xml:space="preserve">¿Qué sucede el día del juicio? </w:t>
      </w:r>
    </w:p>
    <w:p w:rsidR="00463CFF" w:rsidRPr="00225FA3" w:rsidRDefault="00463CFF" w:rsidP="003256C0">
      <w:pPr>
        <w:numPr>
          <w:ilvl w:val="0"/>
          <w:numId w:val="4"/>
        </w:numPr>
        <w:rPr>
          <w:sz w:val="23"/>
          <w:szCs w:val="23"/>
          <w:lang w:val="es-ES"/>
        </w:rPr>
      </w:pPr>
      <w:r w:rsidRPr="00225FA3">
        <w:rPr>
          <w:sz w:val="23"/>
          <w:szCs w:val="23"/>
          <w:lang w:val="es-ES"/>
        </w:rPr>
        <w:t>El día del juicio, usted se reunirá con su Coordinador de Víctimas y Testigos.  Puede hablar con el Coordinador de Víctimas y Testigos acerca de cualquier otra información que desee poner en conocimiento del fiscal.</w:t>
      </w:r>
    </w:p>
    <w:p w:rsidR="00463CFF" w:rsidRPr="00225FA3" w:rsidRDefault="00463CFF" w:rsidP="003256C0">
      <w:pPr>
        <w:numPr>
          <w:ilvl w:val="0"/>
          <w:numId w:val="4"/>
        </w:numPr>
        <w:rPr>
          <w:sz w:val="23"/>
          <w:szCs w:val="23"/>
          <w:lang w:val="es-ES"/>
        </w:rPr>
      </w:pPr>
      <w:r w:rsidRPr="00225FA3">
        <w:rPr>
          <w:sz w:val="23"/>
          <w:szCs w:val="23"/>
          <w:lang w:val="es-ES"/>
        </w:rPr>
        <w:t xml:space="preserve">El fiscal hablará con el abogado defensor para ver si el acusado desea manejar el caso sin llegar a juicio y hará una oferta para resolver el caso.  </w:t>
      </w:r>
    </w:p>
    <w:p w:rsidR="00463CFF" w:rsidRPr="00225FA3" w:rsidRDefault="00463CFF" w:rsidP="003256C0">
      <w:pPr>
        <w:numPr>
          <w:ilvl w:val="0"/>
          <w:numId w:val="4"/>
        </w:numPr>
        <w:rPr>
          <w:sz w:val="23"/>
          <w:szCs w:val="23"/>
          <w:lang w:val="es-ES"/>
        </w:rPr>
      </w:pPr>
      <w:r w:rsidRPr="00225FA3">
        <w:rPr>
          <w:sz w:val="23"/>
          <w:szCs w:val="23"/>
          <w:lang w:val="es-ES"/>
        </w:rPr>
        <w:t xml:space="preserve">Luego, el abogado defensor hablará sobre esta oferta con el acusado.  </w:t>
      </w:r>
    </w:p>
    <w:p w:rsidR="00463CFF" w:rsidRPr="00225FA3" w:rsidRDefault="00463CFF" w:rsidP="003256C0">
      <w:pPr>
        <w:numPr>
          <w:ilvl w:val="0"/>
          <w:numId w:val="4"/>
        </w:numPr>
        <w:rPr>
          <w:sz w:val="23"/>
          <w:szCs w:val="23"/>
          <w:lang w:val="es-ES"/>
        </w:rPr>
      </w:pPr>
      <w:r w:rsidRPr="00225FA3">
        <w:rPr>
          <w:sz w:val="23"/>
          <w:szCs w:val="23"/>
          <w:lang w:val="es-ES"/>
        </w:rPr>
        <w:t>A continuación, el fiscal y el abogado defensor se reunirán con el juez y hablarán más acerca del caso.</w:t>
      </w:r>
    </w:p>
    <w:p w:rsidR="00463CFF" w:rsidRPr="00225FA3" w:rsidRDefault="00463CFF" w:rsidP="003256C0">
      <w:pPr>
        <w:numPr>
          <w:ilvl w:val="0"/>
          <w:numId w:val="4"/>
        </w:numPr>
        <w:rPr>
          <w:sz w:val="23"/>
          <w:szCs w:val="23"/>
          <w:lang w:val="es-ES"/>
        </w:rPr>
      </w:pPr>
      <w:r w:rsidRPr="00225FA3">
        <w:rPr>
          <w:sz w:val="23"/>
          <w:szCs w:val="23"/>
          <w:lang w:val="es-ES"/>
        </w:rPr>
        <w:t xml:space="preserve">Si el acusado desea aceptar la oferta, se declarará culpable y no será necesario realizar ningún juicio. </w:t>
      </w:r>
      <w:r w:rsidRPr="00225FA3">
        <w:rPr>
          <w:i/>
          <w:sz w:val="23"/>
          <w:szCs w:val="23"/>
          <w:lang w:val="es-ES"/>
        </w:rPr>
        <w:t xml:space="preserve">Este es el resultado de la amplia mayoría de los casos programados para </w:t>
      </w:r>
      <w:r>
        <w:rPr>
          <w:i/>
          <w:sz w:val="23"/>
          <w:szCs w:val="23"/>
          <w:lang w:val="es-ES"/>
        </w:rPr>
        <w:t>ser elevados</w:t>
      </w:r>
      <w:r w:rsidRPr="00225FA3">
        <w:rPr>
          <w:i/>
          <w:sz w:val="23"/>
          <w:szCs w:val="23"/>
          <w:lang w:val="es-ES"/>
        </w:rPr>
        <w:t xml:space="preserve"> a juicio</w:t>
      </w:r>
      <w:r w:rsidRPr="00225FA3">
        <w:rPr>
          <w:sz w:val="23"/>
          <w:szCs w:val="23"/>
          <w:lang w:val="es-ES"/>
        </w:rPr>
        <w:t xml:space="preserve">. </w:t>
      </w:r>
    </w:p>
    <w:p w:rsidR="00463CFF" w:rsidRPr="00225FA3" w:rsidRDefault="00463CFF" w:rsidP="003256C0">
      <w:pPr>
        <w:numPr>
          <w:ilvl w:val="0"/>
          <w:numId w:val="4"/>
        </w:numPr>
        <w:rPr>
          <w:sz w:val="23"/>
          <w:szCs w:val="23"/>
          <w:lang w:val="es-ES"/>
        </w:rPr>
      </w:pPr>
      <w:r w:rsidRPr="00225FA3">
        <w:rPr>
          <w:sz w:val="23"/>
          <w:szCs w:val="23"/>
          <w:lang w:val="es-ES"/>
        </w:rPr>
        <w:t xml:space="preserve">Si el acusado no desea aceptar una oferta, el juicio se iniciará después de que los abogados hayan hablado más con el juez acerca de posibles problemas durante el juicio. A veces, a causa de problemas de calendario, se </w:t>
      </w:r>
      <w:r w:rsidR="002A6143">
        <w:rPr>
          <w:sz w:val="23"/>
          <w:szCs w:val="23"/>
          <w:lang w:val="es-ES"/>
        </w:rPr>
        <w:t xml:space="preserve">tiene que </w:t>
      </w:r>
      <w:r w:rsidRPr="00225FA3">
        <w:rPr>
          <w:sz w:val="23"/>
          <w:szCs w:val="23"/>
          <w:lang w:val="es-ES"/>
        </w:rPr>
        <w:t>escoger una nueva fecha para el juicio.</w:t>
      </w:r>
    </w:p>
    <w:p w:rsidR="00463CFF" w:rsidRPr="00225FA3" w:rsidRDefault="00463CFF" w:rsidP="003256C0">
      <w:pPr>
        <w:ind w:left="720"/>
        <w:rPr>
          <w:sz w:val="23"/>
          <w:szCs w:val="23"/>
          <w:lang w:val="es-ES"/>
        </w:rPr>
      </w:pPr>
    </w:p>
    <w:p w:rsidR="00463CFF" w:rsidRPr="00225FA3" w:rsidRDefault="00463CFF" w:rsidP="003256C0">
      <w:pPr>
        <w:numPr>
          <w:ilvl w:val="0"/>
          <w:numId w:val="4"/>
        </w:numPr>
        <w:ind w:left="360"/>
        <w:rPr>
          <w:b/>
          <w:sz w:val="23"/>
          <w:szCs w:val="23"/>
          <w:lang w:val="es-ES"/>
        </w:rPr>
      </w:pPr>
      <w:r w:rsidRPr="00225FA3">
        <w:rPr>
          <w:b/>
          <w:sz w:val="23"/>
          <w:szCs w:val="23"/>
          <w:lang w:val="es-ES"/>
        </w:rPr>
        <w:t>¿Qué sucede durante un juicio?</w:t>
      </w:r>
    </w:p>
    <w:p w:rsidR="00463CFF" w:rsidRPr="00225FA3" w:rsidRDefault="00463CFF" w:rsidP="003256C0">
      <w:pPr>
        <w:numPr>
          <w:ilvl w:val="0"/>
          <w:numId w:val="4"/>
        </w:numPr>
        <w:rPr>
          <w:sz w:val="23"/>
          <w:szCs w:val="23"/>
          <w:lang w:val="es-ES"/>
        </w:rPr>
      </w:pPr>
      <w:r w:rsidRPr="00225FA3">
        <w:rPr>
          <w:sz w:val="23"/>
          <w:szCs w:val="23"/>
          <w:lang w:val="es-ES"/>
        </w:rPr>
        <w:t xml:space="preserve">Antes del comienzo del juicio, se debe seleccionar un jurado.  Un jurado está integrado por 6 personas que escucharán los hechos del caso y decidirán el resultado del caso.  </w:t>
      </w:r>
    </w:p>
    <w:p w:rsidR="00463CFF" w:rsidRPr="00225FA3" w:rsidRDefault="00463CFF" w:rsidP="003256C0">
      <w:pPr>
        <w:numPr>
          <w:ilvl w:val="0"/>
          <w:numId w:val="4"/>
        </w:numPr>
        <w:rPr>
          <w:sz w:val="23"/>
          <w:szCs w:val="23"/>
          <w:lang w:val="es-ES"/>
        </w:rPr>
      </w:pPr>
      <w:r w:rsidRPr="00225FA3">
        <w:rPr>
          <w:sz w:val="23"/>
          <w:szCs w:val="23"/>
          <w:lang w:val="es-ES"/>
        </w:rPr>
        <w:t xml:space="preserve">A veces, un acusado </w:t>
      </w:r>
      <w:r w:rsidR="00B42C1B">
        <w:rPr>
          <w:sz w:val="23"/>
          <w:szCs w:val="23"/>
          <w:lang w:val="es-ES"/>
        </w:rPr>
        <w:t xml:space="preserve">le </w:t>
      </w:r>
      <w:r w:rsidR="00941DA3">
        <w:rPr>
          <w:sz w:val="23"/>
          <w:szCs w:val="23"/>
          <w:lang w:val="es-ES"/>
        </w:rPr>
        <w:t>pide</w:t>
      </w:r>
      <w:r w:rsidRPr="00225FA3">
        <w:rPr>
          <w:sz w:val="23"/>
          <w:szCs w:val="23"/>
          <w:lang w:val="es-ES"/>
        </w:rPr>
        <w:t xml:space="preserve"> a un juez que escuche los hechos y decida el resultado del caso sin la presencia de un jurado.</w:t>
      </w:r>
    </w:p>
    <w:p w:rsidR="00463CFF" w:rsidRPr="00225FA3" w:rsidRDefault="00463CFF" w:rsidP="003256C0">
      <w:pPr>
        <w:numPr>
          <w:ilvl w:val="0"/>
          <w:numId w:val="4"/>
        </w:numPr>
        <w:rPr>
          <w:sz w:val="23"/>
          <w:szCs w:val="23"/>
          <w:lang w:val="es-ES"/>
        </w:rPr>
      </w:pPr>
      <w:r w:rsidRPr="00225FA3">
        <w:rPr>
          <w:sz w:val="23"/>
          <w:szCs w:val="23"/>
          <w:lang w:val="es-ES"/>
        </w:rPr>
        <w:t>Después de la selección del jurado, el fiscal hará que los testigos declaren acerca de los hechos del caso para demostrar que el acusado cometió el delito. El abogado del acusado también puede interrogar a estos testigos.</w:t>
      </w:r>
    </w:p>
    <w:p w:rsidR="00463CFF" w:rsidRPr="00225FA3" w:rsidRDefault="00463CFF" w:rsidP="003256C0">
      <w:pPr>
        <w:numPr>
          <w:ilvl w:val="0"/>
          <w:numId w:val="4"/>
        </w:numPr>
        <w:rPr>
          <w:sz w:val="23"/>
          <w:szCs w:val="23"/>
          <w:lang w:val="es-ES"/>
        </w:rPr>
      </w:pPr>
      <w:r w:rsidRPr="00225FA3">
        <w:rPr>
          <w:sz w:val="23"/>
          <w:szCs w:val="23"/>
          <w:lang w:val="es-ES"/>
        </w:rPr>
        <w:t>Luego, el acusado tiene la posibilidad de hacer que sus propios testigos declaren sobre los hechos, pero en ocasiones elegirá que no declare ningún testigo.</w:t>
      </w:r>
    </w:p>
    <w:p w:rsidR="00463CFF" w:rsidRPr="00225FA3" w:rsidRDefault="00463CFF" w:rsidP="003256C0">
      <w:pPr>
        <w:numPr>
          <w:ilvl w:val="0"/>
          <w:numId w:val="4"/>
        </w:numPr>
        <w:rPr>
          <w:sz w:val="23"/>
          <w:szCs w:val="23"/>
          <w:lang w:val="es-ES"/>
        </w:rPr>
      </w:pPr>
      <w:r w:rsidRPr="00225FA3">
        <w:rPr>
          <w:sz w:val="23"/>
          <w:szCs w:val="23"/>
          <w:lang w:val="es-ES"/>
        </w:rPr>
        <w:t>Después de todos los testimonios, los abogados tienen la posibilidad de resumir los hechos del caso y pedirle al juez o al jurado que decida a su favor.</w:t>
      </w:r>
    </w:p>
    <w:p w:rsidR="00463CFF" w:rsidRPr="00225FA3" w:rsidRDefault="00463CFF" w:rsidP="003256C0">
      <w:pPr>
        <w:numPr>
          <w:ilvl w:val="0"/>
          <w:numId w:val="4"/>
        </w:numPr>
        <w:rPr>
          <w:sz w:val="23"/>
          <w:szCs w:val="23"/>
          <w:lang w:val="es-ES"/>
        </w:rPr>
      </w:pPr>
      <w:r w:rsidRPr="00225FA3">
        <w:rPr>
          <w:sz w:val="23"/>
          <w:szCs w:val="23"/>
          <w:lang w:val="es-ES"/>
        </w:rPr>
        <w:t>A continuación, el jurado o el juez revisará todos los hechos y decidirá si considera que el acusado debe ser declarado culpable del delito.</w:t>
      </w:r>
    </w:p>
    <w:p w:rsidR="00463CFF" w:rsidRPr="00225FA3" w:rsidRDefault="00463CFF" w:rsidP="003256C0">
      <w:pPr>
        <w:numPr>
          <w:ilvl w:val="0"/>
          <w:numId w:val="4"/>
        </w:numPr>
        <w:rPr>
          <w:sz w:val="23"/>
          <w:szCs w:val="23"/>
          <w:lang w:val="es-ES"/>
        </w:rPr>
      </w:pPr>
      <w:r w:rsidRPr="00225FA3">
        <w:rPr>
          <w:sz w:val="23"/>
          <w:szCs w:val="23"/>
          <w:lang w:val="es-ES"/>
        </w:rPr>
        <w:t>Si un acusado es declarado culpable, el juez programará una audiencia de sentencia.</w:t>
      </w:r>
    </w:p>
    <w:p w:rsidR="00463CFF" w:rsidRPr="00225FA3" w:rsidRDefault="00463CFF" w:rsidP="00FF14C3">
      <w:pPr>
        <w:ind w:left="360"/>
        <w:rPr>
          <w:sz w:val="23"/>
          <w:szCs w:val="23"/>
          <w:u w:val="single"/>
          <w:lang w:val="es-ES"/>
        </w:rPr>
      </w:pPr>
    </w:p>
    <w:p w:rsidR="00463CFF" w:rsidRPr="00225FA3" w:rsidRDefault="00463CFF">
      <w:pPr>
        <w:numPr>
          <w:ilvl w:val="0"/>
          <w:numId w:val="11"/>
        </w:numPr>
        <w:rPr>
          <w:b/>
          <w:sz w:val="23"/>
          <w:szCs w:val="23"/>
          <w:lang w:val="es-ES"/>
        </w:rPr>
      </w:pPr>
      <w:r w:rsidRPr="00225FA3">
        <w:rPr>
          <w:b/>
          <w:sz w:val="23"/>
          <w:szCs w:val="23"/>
          <w:lang w:val="es-ES"/>
        </w:rPr>
        <w:t>¿Cuánto tiempo durará el juicio?</w:t>
      </w:r>
    </w:p>
    <w:p w:rsidR="00463CFF" w:rsidRPr="00225FA3" w:rsidRDefault="00463CFF">
      <w:pPr>
        <w:pStyle w:val="BodyTextIndent2"/>
        <w:rPr>
          <w:sz w:val="23"/>
          <w:szCs w:val="23"/>
          <w:lang w:val="es-ES"/>
        </w:rPr>
      </w:pPr>
      <w:r w:rsidRPr="00225FA3">
        <w:rPr>
          <w:sz w:val="23"/>
          <w:szCs w:val="23"/>
          <w:lang w:val="es-ES"/>
        </w:rPr>
        <w:t xml:space="preserve">En general, la mayoría de los juicios duran </w:t>
      </w:r>
      <w:r w:rsidR="002B4EC1">
        <w:rPr>
          <w:sz w:val="23"/>
          <w:szCs w:val="23"/>
          <w:lang w:val="es-ES"/>
        </w:rPr>
        <w:t xml:space="preserve">de </w:t>
      </w:r>
      <w:r w:rsidRPr="00225FA3">
        <w:rPr>
          <w:sz w:val="23"/>
          <w:szCs w:val="23"/>
          <w:lang w:val="es-ES"/>
        </w:rPr>
        <w:t>3</w:t>
      </w:r>
      <w:r w:rsidR="002B4EC1">
        <w:rPr>
          <w:sz w:val="23"/>
          <w:szCs w:val="23"/>
          <w:lang w:val="es-ES"/>
        </w:rPr>
        <w:t xml:space="preserve"> a </w:t>
      </w:r>
      <w:r w:rsidRPr="00225FA3">
        <w:rPr>
          <w:sz w:val="23"/>
          <w:szCs w:val="23"/>
          <w:lang w:val="es-ES"/>
        </w:rPr>
        <w:t xml:space="preserve">4 días, pero es posible que usted no esté obligado a asistir al tribunal en cada uno de esos días. En algunos casos, usted puede ser colocado en “espera” y no estará obligado a presentarse en el </w:t>
      </w:r>
      <w:r w:rsidRPr="00225FA3">
        <w:rPr>
          <w:sz w:val="23"/>
          <w:szCs w:val="23"/>
          <w:lang w:val="es-ES"/>
        </w:rPr>
        <w:lastRenderedPageBreak/>
        <w:t>tribunal hasta que reciba una llamada del Coordinador de Víctimas y Testigos. Por este motivo, es importante informar a su Coordinador de Víctimas y Testigos sobre cualquier cambio en su número de teléfono o su dirección.</w:t>
      </w:r>
    </w:p>
    <w:p w:rsidR="00463CFF" w:rsidRPr="00225FA3" w:rsidRDefault="00463CFF" w:rsidP="00732997">
      <w:pPr>
        <w:ind w:left="360"/>
        <w:rPr>
          <w:b/>
          <w:sz w:val="23"/>
          <w:szCs w:val="23"/>
          <w:lang w:val="es-ES"/>
        </w:rPr>
      </w:pPr>
    </w:p>
    <w:p w:rsidR="00463CFF" w:rsidRPr="00225FA3" w:rsidRDefault="00463CFF" w:rsidP="002E2B22">
      <w:pPr>
        <w:numPr>
          <w:ilvl w:val="0"/>
          <w:numId w:val="9"/>
        </w:numPr>
        <w:ind w:left="360"/>
        <w:rPr>
          <w:b/>
          <w:sz w:val="23"/>
          <w:szCs w:val="23"/>
          <w:lang w:val="es-ES"/>
        </w:rPr>
      </w:pPr>
      <w:r w:rsidRPr="00225FA3">
        <w:rPr>
          <w:b/>
          <w:sz w:val="23"/>
          <w:szCs w:val="23"/>
          <w:lang w:val="es-ES"/>
        </w:rPr>
        <w:t>¿Qué sucede si no deseo presentarme en el tribunal o declarar? ¿Debo hacerlo de todas maneras?</w:t>
      </w:r>
    </w:p>
    <w:p w:rsidR="00463CFF" w:rsidRPr="00225FA3" w:rsidRDefault="00463CFF" w:rsidP="002E2B22">
      <w:pPr>
        <w:pStyle w:val="BodyTextIndent"/>
        <w:numPr>
          <w:ilvl w:val="0"/>
          <w:numId w:val="9"/>
        </w:numPr>
        <w:rPr>
          <w:sz w:val="23"/>
          <w:szCs w:val="23"/>
          <w:lang w:val="es-ES"/>
        </w:rPr>
      </w:pPr>
      <w:r w:rsidRPr="00225FA3">
        <w:rPr>
          <w:sz w:val="23"/>
          <w:szCs w:val="23"/>
          <w:lang w:val="es-ES"/>
        </w:rPr>
        <w:t xml:space="preserve">Si ha recibido una citación, </w:t>
      </w:r>
      <w:r w:rsidRPr="00225FA3">
        <w:rPr>
          <w:i/>
          <w:sz w:val="23"/>
          <w:szCs w:val="23"/>
          <w:lang w:val="es-ES"/>
        </w:rPr>
        <w:t>usted debe acatarla y presentarse, ya sea que esté interesado o no en el proceso judicial</w:t>
      </w:r>
      <w:r w:rsidRPr="00225FA3">
        <w:rPr>
          <w:sz w:val="23"/>
          <w:szCs w:val="23"/>
          <w:lang w:val="es-ES"/>
        </w:rPr>
        <w:t xml:space="preserve">.  </w:t>
      </w:r>
    </w:p>
    <w:p w:rsidR="00463CFF" w:rsidRPr="00225FA3" w:rsidRDefault="00463CFF" w:rsidP="002E2B22">
      <w:pPr>
        <w:pStyle w:val="BodyTextIndent"/>
        <w:numPr>
          <w:ilvl w:val="0"/>
          <w:numId w:val="9"/>
        </w:numPr>
        <w:rPr>
          <w:sz w:val="23"/>
          <w:szCs w:val="23"/>
          <w:lang w:val="es-ES"/>
        </w:rPr>
      </w:pPr>
      <w:r w:rsidRPr="00225FA3">
        <w:rPr>
          <w:sz w:val="23"/>
          <w:szCs w:val="23"/>
          <w:lang w:val="es-ES"/>
        </w:rPr>
        <w:t xml:space="preserve">La citación es válida hasta que el fiscal o el juez lo libere de su responsabilidad.  </w:t>
      </w:r>
    </w:p>
    <w:p w:rsidR="00463CFF" w:rsidRPr="00225FA3" w:rsidRDefault="00463CFF" w:rsidP="002E2B22">
      <w:pPr>
        <w:pStyle w:val="BodyTextIndent"/>
        <w:numPr>
          <w:ilvl w:val="0"/>
          <w:numId w:val="9"/>
        </w:numPr>
        <w:rPr>
          <w:sz w:val="23"/>
          <w:szCs w:val="23"/>
          <w:lang w:val="es-ES"/>
        </w:rPr>
      </w:pPr>
      <w:r w:rsidRPr="00225FA3">
        <w:rPr>
          <w:i/>
          <w:sz w:val="23"/>
          <w:szCs w:val="23"/>
          <w:lang w:val="es-ES"/>
        </w:rPr>
        <w:t>El trabajo, la escuela, no tener quien cuide a sus hijos u otras obligaciones no son justificaciones para ignorar una citación judicial</w:t>
      </w:r>
      <w:r w:rsidRPr="00225FA3">
        <w:rPr>
          <w:sz w:val="23"/>
          <w:szCs w:val="23"/>
          <w:lang w:val="es-ES"/>
        </w:rPr>
        <w:t xml:space="preserve">.  </w:t>
      </w:r>
    </w:p>
    <w:p w:rsidR="00463CFF" w:rsidRPr="00225FA3" w:rsidRDefault="00463CFF" w:rsidP="002E2B22">
      <w:pPr>
        <w:pStyle w:val="BodyTextIndent"/>
        <w:numPr>
          <w:ilvl w:val="0"/>
          <w:numId w:val="9"/>
        </w:numPr>
        <w:rPr>
          <w:sz w:val="23"/>
          <w:szCs w:val="23"/>
          <w:lang w:val="es-ES"/>
        </w:rPr>
      </w:pPr>
      <w:r w:rsidRPr="00225FA3">
        <w:rPr>
          <w:sz w:val="23"/>
          <w:szCs w:val="23"/>
          <w:lang w:val="es-ES"/>
        </w:rPr>
        <w:t xml:space="preserve">Su escuela o empleador no pueden sancionarlo por cumplir con una citación.  </w:t>
      </w:r>
    </w:p>
    <w:p w:rsidR="00463CFF" w:rsidRPr="00225FA3" w:rsidRDefault="00463CFF" w:rsidP="007F59CF">
      <w:pPr>
        <w:pStyle w:val="BodyTextIndent"/>
        <w:numPr>
          <w:ilvl w:val="0"/>
          <w:numId w:val="9"/>
        </w:numPr>
        <w:rPr>
          <w:sz w:val="23"/>
          <w:szCs w:val="23"/>
          <w:lang w:val="es-ES"/>
        </w:rPr>
      </w:pPr>
      <w:r w:rsidRPr="00225FA3">
        <w:rPr>
          <w:sz w:val="23"/>
          <w:szCs w:val="23"/>
          <w:lang w:val="es-ES"/>
        </w:rPr>
        <w:t>Si no puede asistir al tribunal por motivos médicos, se puede requerir una confirmación de su condición de parte de su médico.</w:t>
      </w:r>
    </w:p>
    <w:p w:rsidR="00463CFF" w:rsidRPr="00225FA3" w:rsidRDefault="00463CFF" w:rsidP="007F59CF">
      <w:pPr>
        <w:pStyle w:val="BodyTextIndent"/>
        <w:ind w:left="720"/>
        <w:rPr>
          <w:sz w:val="23"/>
          <w:szCs w:val="23"/>
          <w:lang w:val="es-ES"/>
        </w:rPr>
      </w:pPr>
    </w:p>
    <w:p w:rsidR="00463CFF" w:rsidRPr="00225FA3" w:rsidRDefault="00463CFF" w:rsidP="00732997">
      <w:pPr>
        <w:pStyle w:val="BodyTextIndent"/>
        <w:numPr>
          <w:ilvl w:val="0"/>
          <w:numId w:val="9"/>
        </w:numPr>
        <w:ind w:left="360"/>
        <w:rPr>
          <w:b/>
          <w:sz w:val="23"/>
          <w:szCs w:val="23"/>
          <w:lang w:val="es-ES"/>
        </w:rPr>
      </w:pPr>
      <w:r w:rsidRPr="00225FA3">
        <w:rPr>
          <w:b/>
          <w:sz w:val="23"/>
          <w:szCs w:val="23"/>
          <w:lang w:val="es-ES"/>
        </w:rPr>
        <w:t xml:space="preserve">¿Por qué mi citación tiene una fecha diferente </w:t>
      </w:r>
      <w:r>
        <w:rPr>
          <w:b/>
          <w:sz w:val="23"/>
          <w:szCs w:val="23"/>
          <w:lang w:val="es-ES"/>
        </w:rPr>
        <w:t>a</w:t>
      </w:r>
      <w:r w:rsidRPr="00225FA3">
        <w:rPr>
          <w:b/>
          <w:sz w:val="23"/>
          <w:szCs w:val="23"/>
          <w:lang w:val="es-ES"/>
        </w:rPr>
        <w:t xml:space="preserve"> la de otros testigos?</w:t>
      </w:r>
    </w:p>
    <w:p w:rsidR="00463CFF" w:rsidRPr="00225FA3" w:rsidRDefault="00463CFF" w:rsidP="000B67B3">
      <w:pPr>
        <w:pStyle w:val="BodyTextIndent"/>
        <w:rPr>
          <w:sz w:val="23"/>
          <w:szCs w:val="23"/>
          <w:lang w:val="es-ES"/>
        </w:rPr>
      </w:pPr>
      <w:r w:rsidRPr="00225FA3">
        <w:rPr>
          <w:sz w:val="23"/>
          <w:szCs w:val="23"/>
          <w:lang w:val="es-ES"/>
        </w:rPr>
        <w:t>Se trata de una decisión de programación tomada por el fiscal.</w:t>
      </w:r>
    </w:p>
    <w:p w:rsidR="00463CFF" w:rsidRPr="00225FA3" w:rsidRDefault="00463CFF" w:rsidP="000B67B3">
      <w:pPr>
        <w:pStyle w:val="BodyTextIndent"/>
        <w:rPr>
          <w:sz w:val="23"/>
          <w:szCs w:val="23"/>
          <w:lang w:val="es-ES"/>
        </w:rPr>
      </w:pPr>
    </w:p>
    <w:p w:rsidR="00463CFF" w:rsidRPr="00225FA3" w:rsidRDefault="00463CFF" w:rsidP="00366BB7">
      <w:pPr>
        <w:numPr>
          <w:ilvl w:val="0"/>
          <w:numId w:val="4"/>
        </w:numPr>
        <w:ind w:left="360"/>
        <w:rPr>
          <w:b/>
          <w:sz w:val="23"/>
          <w:szCs w:val="23"/>
          <w:lang w:val="es-ES"/>
        </w:rPr>
      </w:pPr>
      <w:r w:rsidRPr="00225FA3">
        <w:rPr>
          <w:b/>
          <w:sz w:val="23"/>
          <w:szCs w:val="23"/>
          <w:lang w:val="es-ES"/>
        </w:rPr>
        <w:t>¿Veré al acusado en el tribunal/ estaré solo?</w:t>
      </w:r>
    </w:p>
    <w:p w:rsidR="00463CFF" w:rsidRPr="00225FA3" w:rsidRDefault="00463CFF">
      <w:pPr>
        <w:pStyle w:val="BodyTextIndent2"/>
        <w:rPr>
          <w:sz w:val="23"/>
          <w:szCs w:val="23"/>
          <w:lang w:val="es-ES"/>
        </w:rPr>
      </w:pPr>
      <w:r w:rsidRPr="00225FA3">
        <w:rPr>
          <w:sz w:val="23"/>
          <w:szCs w:val="23"/>
          <w:lang w:val="es-ES"/>
        </w:rPr>
        <w:t>El único momento en el que tiene que estar en la misma sala que el acusado es durante el juicio</w:t>
      </w:r>
      <w:r>
        <w:rPr>
          <w:sz w:val="23"/>
          <w:szCs w:val="23"/>
          <w:lang w:val="es-ES"/>
        </w:rPr>
        <w:t>,</w:t>
      </w:r>
      <w:r w:rsidRPr="00225FA3">
        <w:rPr>
          <w:sz w:val="23"/>
          <w:szCs w:val="23"/>
          <w:lang w:val="es-ES"/>
        </w:rPr>
        <w:t xml:space="preserve"> cuando esté </w:t>
      </w:r>
      <w:r>
        <w:rPr>
          <w:sz w:val="23"/>
          <w:szCs w:val="23"/>
          <w:lang w:val="es-ES"/>
        </w:rPr>
        <w:t>prestando declaración</w:t>
      </w:r>
      <w:r w:rsidRPr="00225FA3">
        <w:rPr>
          <w:sz w:val="23"/>
          <w:szCs w:val="23"/>
          <w:lang w:val="es-ES"/>
        </w:rPr>
        <w:t xml:space="preserve">. En todas las demás ocasiones, usted puede solicitar permanecer en una zona de espera separada.  Puede llevar amigos o familiares para que le brinden apoyo.  </w:t>
      </w:r>
    </w:p>
    <w:p w:rsidR="00463CFF" w:rsidRPr="00225FA3" w:rsidRDefault="00463CFF">
      <w:pPr>
        <w:pStyle w:val="BodyTextIndent2"/>
        <w:rPr>
          <w:sz w:val="23"/>
          <w:szCs w:val="23"/>
          <w:lang w:val="es-ES"/>
        </w:rPr>
      </w:pPr>
    </w:p>
    <w:p w:rsidR="00463CFF" w:rsidRPr="00225FA3" w:rsidRDefault="00463CFF" w:rsidP="00366BB7">
      <w:pPr>
        <w:pStyle w:val="BodyTextIndent2"/>
        <w:numPr>
          <w:ilvl w:val="0"/>
          <w:numId w:val="14"/>
        </w:numPr>
        <w:ind w:left="360"/>
        <w:rPr>
          <w:b/>
          <w:sz w:val="23"/>
          <w:szCs w:val="23"/>
          <w:lang w:val="es-ES"/>
        </w:rPr>
      </w:pPr>
      <w:r w:rsidRPr="00225FA3">
        <w:rPr>
          <w:b/>
          <w:sz w:val="23"/>
          <w:szCs w:val="23"/>
          <w:lang w:val="es-ES"/>
        </w:rPr>
        <w:t>¿Tendré que hablar frente a otras personas?</w:t>
      </w:r>
    </w:p>
    <w:p w:rsidR="00463CFF" w:rsidRPr="00225FA3" w:rsidRDefault="00463CFF" w:rsidP="00DA4FCD">
      <w:pPr>
        <w:pStyle w:val="BodyTextIndent2"/>
        <w:rPr>
          <w:sz w:val="23"/>
          <w:szCs w:val="23"/>
          <w:lang w:val="es-ES"/>
        </w:rPr>
      </w:pPr>
      <w:r w:rsidRPr="00225FA3">
        <w:rPr>
          <w:sz w:val="23"/>
          <w:szCs w:val="23"/>
          <w:lang w:val="es-ES"/>
        </w:rPr>
        <w:t xml:space="preserve">Sí, si el caso no se resuelve antes del juicio, usted deberá responder preguntas frente al jurado, los abogados, el juez y el acusado.  Puede haber otra gente en la sala que no esté relacionada con el caso. </w:t>
      </w:r>
    </w:p>
    <w:p w:rsidR="00463CFF" w:rsidRPr="00225FA3" w:rsidRDefault="00463CFF" w:rsidP="00DA4FCD">
      <w:pPr>
        <w:pStyle w:val="BodyTextIndent2"/>
        <w:rPr>
          <w:sz w:val="23"/>
          <w:szCs w:val="23"/>
          <w:lang w:val="es-ES"/>
        </w:rPr>
      </w:pPr>
    </w:p>
    <w:p w:rsidR="00463CFF" w:rsidRPr="00225FA3" w:rsidRDefault="00463CFF" w:rsidP="000B67B3">
      <w:pPr>
        <w:pStyle w:val="BodyTextIndent2"/>
        <w:numPr>
          <w:ilvl w:val="0"/>
          <w:numId w:val="22"/>
        </w:numPr>
        <w:tabs>
          <w:tab w:val="clear" w:pos="720"/>
          <w:tab w:val="num" w:pos="360"/>
        </w:tabs>
        <w:ind w:hanging="720"/>
        <w:rPr>
          <w:b/>
          <w:sz w:val="23"/>
          <w:szCs w:val="23"/>
          <w:lang w:val="es-ES"/>
        </w:rPr>
      </w:pPr>
      <w:r w:rsidRPr="00225FA3">
        <w:rPr>
          <w:b/>
          <w:sz w:val="23"/>
          <w:szCs w:val="23"/>
          <w:lang w:val="es-ES"/>
        </w:rPr>
        <w:t>¿Cómo debo vestirme para presentarme en el tribunal?</w:t>
      </w:r>
    </w:p>
    <w:p w:rsidR="00463CFF" w:rsidRPr="00225FA3" w:rsidRDefault="00463CFF" w:rsidP="000B67B3">
      <w:pPr>
        <w:pStyle w:val="BodyTextIndent2"/>
        <w:rPr>
          <w:sz w:val="23"/>
          <w:szCs w:val="23"/>
          <w:lang w:val="es-ES"/>
        </w:rPr>
      </w:pPr>
      <w:r w:rsidRPr="00225FA3">
        <w:rPr>
          <w:sz w:val="23"/>
          <w:szCs w:val="23"/>
          <w:lang w:val="es-ES"/>
        </w:rPr>
        <w:t>Debe vestirse de la manera más profesional posible.</w:t>
      </w:r>
    </w:p>
    <w:p w:rsidR="00463CFF" w:rsidRPr="00225FA3" w:rsidRDefault="00463CFF" w:rsidP="000B67B3">
      <w:pPr>
        <w:pStyle w:val="BodyTextIndent2"/>
        <w:rPr>
          <w:sz w:val="23"/>
          <w:szCs w:val="23"/>
          <w:lang w:val="es-ES"/>
        </w:rPr>
      </w:pPr>
    </w:p>
    <w:p w:rsidR="00463CFF" w:rsidRPr="00225FA3" w:rsidRDefault="00463CFF" w:rsidP="00366BB7">
      <w:pPr>
        <w:numPr>
          <w:ilvl w:val="0"/>
          <w:numId w:val="4"/>
        </w:numPr>
        <w:ind w:left="360"/>
        <w:rPr>
          <w:b/>
          <w:sz w:val="23"/>
          <w:szCs w:val="23"/>
          <w:lang w:val="es-ES"/>
        </w:rPr>
      </w:pPr>
      <w:r w:rsidRPr="00225FA3">
        <w:rPr>
          <w:b/>
          <w:sz w:val="23"/>
          <w:szCs w:val="23"/>
          <w:lang w:val="es-ES"/>
        </w:rPr>
        <w:t>¿Puedo mantener confidenciales mi nombre y mi dirección?</w:t>
      </w:r>
    </w:p>
    <w:p w:rsidR="00463CFF" w:rsidRPr="00225FA3" w:rsidRDefault="00463CFF">
      <w:pPr>
        <w:pStyle w:val="BodyTextIndent2"/>
        <w:rPr>
          <w:sz w:val="23"/>
          <w:szCs w:val="23"/>
          <w:lang w:val="es-ES"/>
        </w:rPr>
      </w:pPr>
      <w:r w:rsidRPr="00225FA3">
        <w:rPr>
          <w:sz w:val="23"/>
          <w:szCs w:val="23"/>
          <w:lang w:val="es-ES"/>
        </w:rPr>
        <w:t>A veces, un juez puede admitir una solicitud hecha en nombre del testigo para que no se divulgue información personal en el Tribunal.  Si su nombre y su dirección fueron incluidos en el informe policial original, ya forman parte del registro público.</w:t>
      </w:r>
    </w:p>
    <w:p w:rsidR="00463CFF" w:rsidRPr="00225FA3" w:rsidRDefault="00463CFF">
      <w:pPr>
        <w:pStyle w:val="BodyTextIndent2"/>
        <w:rPr>
          <w:sz w:val="23"/>
          <w:szCs w:val="23"/>
          <w:lang w:val="es-ES"/>
        </w:rPr>
      </w:pPr>
    </w:p>
    <w:p w:rsidR="00463CFF" w:rsidRPr="00225FA3" w:rsidRDefault="00463CFF" w:rsidP="00366BB7">
      <w:pPr>
        <w:numPr>
          <w:ilvl w:val="0"/>
          <w:numId w:val="4"/>
        </w:numPr>
        <w:ind w:left="360"/>
        <w:rPr>
          <w:b/>
          <w:sz w:val="23"/>
          <w:szCs w:val="23"/>
          <w:lang w:val="es-ES"/>
        </w:rPr>
      </w:pPr>
      <w:r w:rsidRPr="00225FA3">
        <w:rPr>
          <w:b/>
          <w:sz w:val="23"/>
          <w:szCs w:val="23"/>
          <w:lang w:val="es-ES"/>
        </w:rPr>
        <w:t>¿Cómo puedo retirar los cargos?</w:t>
      </w:r>
    </w:p>
    <w:p w:rsidR="00463CFF" w:rsidRPr="00225FA3" w:rsidRDefault="00463CFF">
      <w:pPr>
        <w:ind w:left="360"/>
        <w:rPr>
          <w:sz w:val="23"/>
          <w:szCs w:val="23"/>
          <w:lang w:val="es-ES"/>
        </w:rPr>
      </w:pPr>
      <w:r w:rsidRPr="00225FA3">
        <w:rPr>
          <w:sz w:val="23"/>
          <w:szCs w:val="23"/>
          <w:lang w:val="es-ES"/>
        </w:rPr>
        <w:t xml:space="preserve">Una vez que se haya completado un informe policial y se haya presentado un caso en el Tribunal, el fiscal o el juez son los únicos que pueden desestimar el caso. </w:t>
      </w:r>
    </w:p>
    <w:p w:rsidR="00463CFF" w:rsidRPr="00225FA3" w:rsidRDefault="00463CFF" w:rsidP="00DA4FCD">
      <w:pPr>
        <w:ind w:left="360"/>
        <w:rPr>
          <w:sz w:val="23"/>
          <w:szCs w:val="23"/>
          <w:lang w:val="es-ES"/>
        </w:rPr>
      </w:pPr>
    </w:p>
    <w:p w:rsidR="00463CFF" w:rsidRPr="00225FA3" w:rsidRDefault="00463CFF" w:rsidP="00DA4FCD">
      <w:pPr>
        <w:numPr>
          <w:ilvl w:val="0"/>
          <w:numId w:val="4"/>
        </w:numPr>
        <w:ind w:left="360"/>
        <w:rPr>
          <w:sz w:val="23"/>
          <w:szCs w:val="23"/>
          <w:lang w:val="es-ES"/>
        </w:rPr>
      </w:pPr>
      <w:r w:rsidRPr="00225FA3">
        <w:rPr>
          <w:b/>
          <w:sz w:val="23"/>
          <w:szCs w:val="23"/>
          <w:lang w:val="es-ES"/>
        </w:rPr>
        <w:t xml:space="preserve">¿Puedo decirle al juez de qué manera me afectó este delito?  </w:t>
      </w:r>
      <w:r w:rsidRPr="00225FA3">
        <w:rPr>
          <w:sz w:val="23"/>
          <w:szCs w:val="23"/>
          <w:lang w:val="es-ES"/>
        </w:rPr>
        <w:t xml:space="preserve">                                                                                              Si un acusado es condenado, la víctima del delito puede, si lo desea, expresarle al juez verbalmente o por escrito sus sensaciones con respecto al impacto del delito y la resolución del caso.  En casos de violencia doméstica, se requiere un informe de condena condicional antes de dictar la sentencia. </w:t>
      </w:r>
      <w:r>
        <w:rPr>
          <w:sz w:val="23"/>
          <w:szCs w:val="23"/>
          <w:lang w:val="es-ES"/>
        </w:rPr>
        <w:t>P</w:t>
      </w:r>
      <w:r w:rsidRPr="00225FA3">
        <w:rPr>
          <w:sz w:val="23"/>
          <w:szCs w:val="23"/>
          <w:lang w:val="es-ES"/>
        </w:rPr>
        <w:t>ara la redacción de este informe</w:t>
      </w:r>
      <w:r>
        <w:rPr>
          <w:sz w:val="23"/>
          <w:szCs w:val="23"/>
          <w:lang w:val="es-ES"/>
        </w:rPr>
        <w:t>, s</w:t>
      </w:r>
      <w:r w:rsidRPr="00225FA3">
        <w:rPr>
          <w:sz w:val="23"/>
          <w:szCs w:val="23"/>
          <w:lang w:val="es-ES"/>
        </w:rPr>
        <w:t xml:space="preserve">e alienta a las víctimas a aportar información para la condena condicional. La víctima puede compartir sus sentimientos a través de una Declaración de impacto en la víctima. </w:t>
      </w:r>
    </w:p>
    <w:p w:rsidR="00463CFF" w:rsidRPr="00225FA3" w:rsidRDefault="00463CFF">
      <w:pPr>
        <w:ind w:left="360"/>
        <w:rPr>
          <w:sz w:val="23"/>
          <w:szCs w:val="23"/>
          <w:lang w:val="es-ES"/>
        </w:rPr>
      </w:pPr>
    </w:p>
    <w:p w:rsidR="00463CFF" w:rsidRPr="00225FA3" w:rsidRDefault="00463CFF" w:rsidP="00366BB7">
      <w:pPr>
        <w:numPr>
          <w:ilvl w:val="0"/>
          <w:numId w:val="16"/>
        </w:numPr>
        <w:ind w:left="360"/>
        <w:rPr>
          <w:b/>
          <w:sz w:val="23"/>
          <w:szCs w:val="23"/>
          <w:lang w:val="es-ES"/>
        </w:rPr>
      </w:pPr>
      <w:r w:rsidRPr="00225FA3">
        <w:rPr>
          <w:b/>
          <w:sz w:val="23"/>
          <w:szCs w:val="23"/>
          <w:lang w:val="es-ES"/>
        </w:rPr>
        <w:t>¿Los testigos reciben el pago de algún honorario?</w:t>
      </w:r>
    </w:p>
    <w:p w:rsidR="00463CFF" w:rsidRPr="00225FA3" w:rsidRDefault="00463CFF" w:rsidP="00366BB7">
      <w:pPr>
        <w:pStyle w:val="BodyTextIndent2"/>
        <w:numPr>
          <w:ilvl w:val="0"/>
          <w:numId w:val="16"/>
        </w:numPr>
        <w:rPr>
          <w:sz w:val="23"/>
          <w:szCs w:val="23"/>
          <w:lang w:val="es-ES"/>
        </w:rPr>
      </w:pPr>
      <w:r w:rsidRPr="00225FA3">
        <w:rPr>
          <w:sz w:val="23"/>
          <w:szCs w:val="23"/>
          <w:lang w:val="es-ES"/>
        </w:rPr>
        <w:t xml:space="preserve">Si debe presentarse en el Tribunal después de haber recibido una citación, puede obtener un honorario para testigos de $20 más </w:t>
      </w:r>
      <w:r w:rsidR="00872014">
        <w:rPr>
          <w:sz w:val="23"/>
          <w:szCs w:val="23"/>
          <w:lang w:val="es-ES"/>
        </w:rPr>
        <w:t xml:space="preserve">gastos de viaje por </w:t>
      </w:r>
      <w:r w:rsidRPr="00225FA3">
        <w:rPr>
          <w:sz w:val="23"/>
          <w:szCs w:val="23"/>
          <w:lang w:val="es-ES"/>
        </w:rPr>
        <w:t>millas</w:t>
      </w:r>
      <w:r w:rsidR="00872014">
        <w:rPr>
          <w:sz w:val="23"/>
          <w:szCs w:val="23"/>
          <w:lang w:val="es-ES"/>
        </w:rPr>
        <w:t xml:space="preserve"> recorridas</w:t>
      </w:r>
      <w:r w:rsidRPr="00225FA3">
        <w:rPr>
          <w:sz w:val="23"/>
          <w:szCs w:val="23"/>
          <w:lang w:val="es-ES"/>
        </w:rPr>
        <w:t xml:space="preserve"> por cada día en el cual comparezca </w:t>
      </w:r>
      <w:r w:rsidR="00872014">
        <w:rPr>
          <w:sz w:val="23"/>
          <w:szCs w:val="23"/>
          <w:lang w:val="es-ES"/>
        </w:rPr>
        <w:t>ante</w:t>
      </w:r>
      <w:r w:rsidR="00872014" w:rsidRPr="00225FA3">
        <w:rPr>
          <w:sz w:val="23"/>
          <w:szCs w:val="23"/>
          <w:lang w:val="es-ES"/>
        </w:rPr>
        <w:t xml:space="preserve"> </w:t>
      </w:r>
      <w:r w:rsidRPr="00225FA3">
        <w:rPr>
          <w:sz w:val="23"/>
          <w:szCs w:val="23"/>
          <w:lang w:val="es-ES"/>
        </w:rPr>
        <w:t xml:space="preserve">el Tribunal.  Si usted vive fuera de Minnesota, </w:t>
      </w:r>
      <w:r w:rsidR="00872014" w:rsidRPr="00225FA3">
        <w:rPr>
          <w:sz w:val="23"/>
          <w:szCs w:val="23"/>
          <w:lang w:val="es-ES"/>
        </w:rPr>
        <w:t>s</w:t>
      </w:r>
      <w:r w:rsidR="00872014">
        <w:rPr>
          <w:sz w:val="23"/>
          <w:szCs w:val="23"/>
          <w:lang w:val="es-ES"/>
        </w:rPr>
        <w:t>o</w:t>
      </w:r>
      <w:r w:rsidR="00872014" w:rsidRPr="00225FA3">
        <w:rPr>
          <w:sz w:val="23"/>
          <w:szCs w:val="23"/>
          <w:lang w:val="es-ES"/>
        </w:rPr>
        <w:t xml:space="preserve">lo </w:t>
      </w:r>
      <w:r w:rsidRPr="00225FA3">
        <w:rPr>
          <w:sz w:val="23"/>
          <w:szCs w:val="23"/>
          <w:lang w:val="es-ES"/>
        </w:rPr>
        <w:t xml:space="preserve">se le pagarán las millas desde el límite de Minnesota hasta el Palacio de Justicia de Ramsey County y de regreso hasta el límite del estado.  </w:t>
      </w:r>
    </w:p>
    <w:p w:rsidR="00463CFF" w:rsidRPr="00225FA3" w:rsidRDefault="00463CFF" w:rsidP="00366BB7">
      <w:pPr>
        <w:pStyle w:val="BodyTextIndent2"/>
        <w:numPr>
          <w:ilvl w:val="0"/>
          <w:numId w:val="16"/>
        </w:numPr>
        <w:rPr>
          <w:sz w:val="23"/>
          <w:szCs w:val="23"/>
          <w:lang w:val="es-ES"/>
        </w:rPr>
      </w:pPr>
      <w:r w:rsidRPr="00225FA3">
        <w:rPr>
          <w:sz w:val="23"/>
          <w:szCs w:val="23"/>
          <w:lang w:val="es-ES"/>
        </w:rPr>
        <w:t xml:space="preserve">El fiscal solicitará el honorario para testigos para usted y se le enviará un cheque por correo a la dirección que aparece en la citación en un plazo de 6 </w:t>
      </w:r>
      <w:r w:rsidR="00872014">
        <w:rPr>
          <w:sz w:val="23"/>
          <w:szCs w:val="23"/>
          <w:lang w:val="es-ES"/>
        </w:rPr>
        <w:t>a</w:t>
      </w:r>
      <w:r w:rsidR="00872014" w:rsidRPr="00225FA3">
        <w:rPr>
          <w:sz w:val="23"/>
          <w:szCs w:val="23"/>
          <w:lang w:val="es-ES"/>
        </w:rPr>
        <w:t xml:space="preserve"> </w:t>
      </w:r>
      <w:r w:rsidRPr="00225FA3">
        <w:rPr>
          <w:sz w:val="23"/>
          <w:szCs w:val="23"/>
          <w:lang w:val="es-ES"/>
        </w:rPr>
        <w:t>8 semanas. Para enviarle el pago, es obligatorio que suministre su número de seguro social.</w:t>
      </w:r>
    </w:p>
    <w:p w:rsidR="00463CFF" w:rsidRPr="00EE605C" w:rsidRDefault="00463CFF">
      <w:pPr>
        <w:rPr>
          <w:sz w:val="24"/>
          <w:lang w:val="es-MX"/>
        </w:rPr>
      </w:pPr>
    </w:p>
    <w:p w:rsidR="00463CFF" w:rsidRPr="00EE605C" w:rsidRDefault="00463CFF">
      <w:pPr>
        <w:rPr>
          <w:sz w:val="24"/>
          <w:lang w:val="es-MX"/>
        </w:rPr>
      </w:pPr>
    </w:p>
    <w:p w:rsidR="00463CFF" w:rsidRPr="00EE605C" w:rsidRDefault="00463CFF" w:rsidP="0053361B">
      <w:pPr>
        <w:rPr>
          <w:sz w:val="24"/>
          <w:lang w:val="es-MX"/>
        </w:rPr>
      </w:pPr>
    </w:p>
    <w:sectPr w:rsidR="00463CFF" w:rsidRPr="00EE605C" w:rsidSect="00492D7D">
      <w:headerReference w:type="default" r:id="rId7"/>
      <w:footerReference w:type="default" r:id="rId8"/>
      <w:pgSz w:w="12240" w:h="15840"/>
      <w:pgMar w:top="576" w:right="576" w:bottom="576" w:left="576" w:header="432" w:footer="432" w:gutter="0"/>
      <w:cols w:space="720"/>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3B8" w:rsidRDefault="002543B8">
      <w:r>
        <w:separator/>
      </w:r>
    </w:p>
  </w:endnote>
  <w:endnote w:type="continuationSeparator" w:id="0">
    <w:p w:rsidR="002543B8" w:rsidRDefault="0025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FF" w:rsidRPr="00C93EA7" w:rsidRDefault="00463CFF" w:rsidP="00C93EA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3B8" w:rsidRDefault="002543B8">
      <w:r>
        <w:separator/>
      </w:r>
    </w:p>
  </w:footnote>
  <w:footnote w:type="continuationSeparator" w:id="0">
    <w:p w:rsidR="002543B8" w:rsidRDefault="00254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FF" w:rsidRDefault="00463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037"/>
    <w:multiLevelType w:val="hybridMultilevel"/>
    <w:tmpl w:val="5AE6B282"/>
    <w:lvl w:ilvl="0" w:tplc="573C2672">
      <w:start w:val="1"/>
      <w:numFmt w:val="bullet"/>
      <w:lvlText w:val=""/>
      <w:lvlJc w:val="left"/>
      <w:pPr>
        <w:tabs>
          <w:tab w:val="num" w:pos="360"/>
        </w:tabs>
        <w:ind w:left="360" w:hanging="432"/>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764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C1E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B62E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4C33AB"/>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14A534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0C7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4268B8"/>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2FEF0DE2"/>
    <w:multiLevelType w:val="hybridMultilevel"/>
    <w:tmpl w:val="B622B904"/>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8277E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B752F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E024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BD09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C44F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663044"/>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58B14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98B62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312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7840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3CC33DA"/>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7608701C"/>
    <w:multiLevelType w:val="multilevel"/>
    <w:tmpl w:val="5AE6B282"/>
    <w:lvl w:ilvl="0">
      <w:start w:val="1"/>
      <w:numFmt w:val="bullet"/>
      <w:lvlText w:val=""/>
      <w:lvlJc w:val="left"/>
      <w:pPr>
        <w:tabs>
          <w:tab w:val="num" w:pos="360"/>
        </w:tabs>
        <w:ind w:left="360" w:hanging="432"/>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FDE4F5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6"/>
  </w:num>
  <w:num w:numId="3">
    <w:abstractNumId w:val="16"/>
  </w:num>
  <w:num w:numId="4">
    <w:abstractNumId w:val="7"/>
  </w:num>
  <w:num w:numId="5">
    <w:abstractNumId w:val="21"/>
  </w:num>
  <w:num w:numId="6">
    <w:abstractNumId w:val="11"/>
  </w:num>
  <w:num w:numId="7">
    <w:abstractNumId w:val="12"/>
  </w:num>
  <w:num w:numId="8">
    <w:abstractNumId w:val="5"/>
  </w:num>
  <w:num w:numId="9">
    <w:abstractNumId w:val="14"/>
  </w:num>
  <w:num w:numId="10">
    <w:abstractNumId w:val="17"/>
  </w:num>
  <w:num w:numId="11">
    <w:abstractNumId w:val="1"/>
  </w:num>
  <w:num w:numId="12">
    <w:abstractNumId w:val="13"/>
  </w:num>
  <w:num w:numId="13">
    <w:abstractNumId w:val="3"/>
  </w:num>
  <w:num w:numId="14">
    <w:abstractNumId w:val="4"/>
  </w:num>
  <w:num w:numId="15">
    <w:abstractNumId w:val="15"/>
  </w:num>
  <w:num w:numId="16">
    <w:abstractNumId w:val="19"/>
  </w:num>
  <w:num w:numId="17">
    <w:abstractNumId w:val="18"/>
  </w:num>
  <w:num w:numId="18">
    <w:abstractNumId w:val="10"/>
  </w:num>
  <w:num w:numId="19">
    <w:abstractNumId w:val="2"/>
  </w:num>
  <w:num w:numId="20">
    <w:abstractNumId w:val="0"/>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E6"/>
    <w:rsid w:val="00043334"/>
    <w:rsid w:val="000470E0"/>
    <w:rsid w:val="000533B5"/>
    <w:rsid w:val="00087ABA"/>
    <w:rsid w:val="000B67B3"/>
    <w:rsid w:val="001152EC"/>
    <w:rsid w:val="00134736"/>
    <w:rsid w:val="00143EB8"/>
    <w:rsid w:val="00173179"/>
    <w:rsid w:val="00173E9B"/>
    <w:rsid w:val="00173EE8"/>
    <w:rsid w:val="001918A7"/>
    <w:rsid w:val="0019468E"/>
    <w:rsid w:val="00225FA3"/>
    <w:rsid w:val="00245EA9"/>
    <w:rsid w:val="002543B8"/>
    <w:rsid w:val="0025456A"/>
    <w:rsid w:val="002602FB"/>
    <w:rsid w:val="00283386"/>
    <w:rsid w:val="002958A8"/>
    <w:rsid w:val="002A6143"/>
    <w:rsid w:val="002B4EC1"/>
    <w:rsid w:val="002C1377"/>
    <w:rsid w:val="002D5EAD"/>
    <w:rsid w:val="002E2B22"/>
    <w:rsid w:val="002F1251"/>
    <w:rsid w:val="003034E9"/>
    <w:rsid w:val="0032052E"/>
    <w:rsid w:val="003256C0"/>
    <w:rsid w:val="0034327A"/>
    <w:rsid w:val="00366407"/>
    <w:rsid w:val="00366BB7"/>
    <w:rsid w:val="00375581"/>
    <w:rsid w:val="003A04C6"/>
    <w:rsid w:val="003C6C45"/>
    <w:rsid w:val="00422053"/>
    <w:rsid w:val="004320B5"/>
    <w:rsid w:val="004452EE"/>
    <w:rsid w:val="00445FAF"/>
    <w:rsid w:val="00450D05"/>
    <w:rsid w:val="00463CFF"/>
    <w:rsid w:val="00472EDF"/>
    <w:rsid w:val="00487D4B"/>
    <w:rsid w:val="00492D7D"/>
    <w:rsid w:val="00493CCF"/>
    <w:rsid w:val="00493DDB"/>
    <w:rsid w:val="004F023F"/>
    <w:rsid w:val="004F754F"/>
    <w:rsid w:val="00520AA1"/>
    <w:rsid w:val="0053361B"/>
    <w:rsid w:val="005576D2"/>
    <w:rsid w:val="00562658"/>
    <w:rsid w:val="005B32BA"/>
    <w:rsid w:val="00611DD7"/>
    <w:rsid w:val="0063254D"/>
    <w:rsid w:val="006913AE"/>
    <w:rsid w:val="00695AEA"/>
    <w:rsid w:val="006C6136"/>
    <w:rsid w:val="006D4D1C"/>
    <w:rsid w:val="006E2A04"/>
    <w:rsid w:val="007012E6"/>
    <w:rsid w:val="00732997"/>
    <w:rsid w:val="007F316D"/>
    <w:rsid w:val="007F59CF"/>
    <w:rsid w:val="0083568D"/>
    <w:rsid w:val="00872014"/>
    <w:rsid w:val="008862BB"/>
    <w:rsid w:val="008C0E30"/>
    <w:rsid w:val="008F2B22"/>
    <w:rsid w:val="00941DA3"/>
    <w:rsid w:val="0098510C"/>
    <w:rsid w:val="009942DE"/>
    <w:rsid w:val="009F4C27"/>
    <w:rsid w:val="00A120BC"/>
    <w:rsid w:val="00A15C5E"/>
    <w:rsid w:val="00A25C5D"/>
    <w:rsid w:val="00A45816"/>
    <w:rsid w:val="00A613CB"/>
    <w:rsid w:val="00A94E51"/>
    <w:rsid w:val="00B042B3"/>
    <w:rsid w:val="00B21B79"/>
    <w:rsid w:val="00B23873"/>
    <w:rsid w:val="00B34979"/>
    <w:rsid w:val="00B42C1B"/>
    <w:rsid w:val="00C122AB"/>
    <w:rsid w:val="00C357BA"/>
    <w:rsid w:val="00C37D9C"/>
    <w:rsid w:val="00C7720F"/>
    <w:rsid w:val="00C83F68"/>
    <w:rsid w:val="00C93EA7"/>
    <w:rsid w:val="00CC15DA"/>
    <w:rsid w:val="00CC6FF8"/>
    <w:rsid w:val="00CD4CB6"/>
    <w:rsid w:val="00CE3CB6"/>
    <w:rsid w:val="00D07890"/>
    <w:rsid w:val="00D203DF"/>
    <w:rsid w:val="00D36C74"/>
    <w:rsid w:val="00D6047E"/>
    <w:rsid w:val="00D876D0"/>
    <w:rsid w:val="00D9069C"/>
    <w:rsid w:val="00DA0913"/>
    <w:rsid w:val="00DA4EC5"/>
    <w:rsid w:val="00DA4FCD"/>
    <w:rsid w:val="00DB400D"/>
    <w:rsid w:val="00E07895"/>
    <w:rsid w:val="00E35913"/>
    <w:rsid w:val="00E401F3"/>
    <w:rsid w:val="00E44E68"/>
    <w:rsid w:val="00E47E07"/>
    <w:rsid w:val="00E63D73"/>
    <w:rsid w:val="00E67DB6"/>
    <w:rsid w:val="00EA4BE5"/>
    <w:rsid w:val="00EB18C8"/>
    <w:rsid w:val="00EB7A1F"/>
    <w:rsid w:val="00ED2233"/>
    <w:rsid w:val="00EE2317"/>
    <w:rsid w:val="00EE33B4"/>
    <w:rsid w:val="00EE605C"/>
    <w:rsid w:val="00F02BAB"/>
    <w:rsid w:val="00F1552C"/>
    <w:rsid w:val="00F6128D"/>
    <w:rsid w:val="00F77894"/>
    <w:rsid w:val="00FB0B54"/>
    <w:rsid w:val="00FE1F21"/>
    <w:rsid w:val="00FF14C3"/>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FEEF01-912E-4336-8940-B0134E22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my-MM"/>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EB8"/>
    <w:rPr>
      <w:rFonts w:ascii="Garamond" w:hAnsi="Garamond"/>
      <w:sz w:val="28"/>
      <w:lang w:bidi="ar-SA"/>
    </w:rPr>
  </w:style>
  <w:style w:type="paragraph" w:styleId="Heading1">
    <w:name w:val="heading 1"/>
    <w:basedOn w:val="Normal"/>
    <w:next w:val="Normal"/>
    <w:link w:val="Heading1Char"/>
    <w:uiPriority w:val="99"/>
    <w:qFormat/>
    <w:rsid w:val="00143EB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A9F"/>
    <w:rPr>
      <w:rFonts w:ascii="Cambria" w:eastAsia="Times New Roman" w:hAnsi="Cambria" w:cs="Myanmar Text"/>
      <w:b/>
      <w:bCs/>
      <w:kern w:val="32"/>
      <w:sz w:val="32"/>
      <w:szCs w:val="32"/>
      <w:lang w:val="en-US" w:eastAsia="en-US"/>
    </w:rPr>
  </w:style>
  <w:style w:type="paragraph" w:styleId="Header">
    <w:name w:val="header"/>
    <w:basedOn w:val="Normal"/>
    <w:link w:val="HeaderChar"/>
    <w:uiPriority w:val="99"/>
    <w:rsid w:val="00143EB8"/>
    <w:pPr>
      <w:tabs>
        <w:tab w:val="center" w:pos="4320"/>
        <w:tab w:val="right" w:pos="8640"/>
      </w:tabs>
    </w:pPr>
  </w:style>
  <w:style w:type="character" w:customStyle="1" w:styleId="HeaderChar">
    <w:name w:val="Header Char"/>
    <w:basedOn w:val="DefaultParagraphFont"/>
    <w:link w:val="Header"/>
    <w:uiPriority w:val="99"/>
    <w:semiHidden/>
    <w:rsid w:val="00005A9F"/>
    <w:rPr>
      <w:rFonts w:ascii="Garamond" w:hAnsi="Garamond"/>
      <w:sz w:val="28"/>
      <w:szCs w:val="20"/>
      <w:lang w:val="en-US" w:eastAsia="en-US"/>
    </w:rPr>
  </w:style>
  <w:style w:type="paragraph" w:styleId="Footer">
    <w:name w:val="footer"/>
    <w:basedOn w:val="Normal"/>
    <w:link w:val="FooterChar"/>
    <w:uiPriority w:val="99"/>
    <w:rsid w:val="00143EB8"/>
    <w:pPr>
      <w:tabs>
        <w:tab w:val="center" w:pos="4320"/>
        <w:tab w:val="right" w:pos="8640"/>
      </w:tabs>
    </w:pPr>
  </w:style>
  <w:style w:type="character" w:customStyle="1" w:styleId="FooterChar">
    <w:name w:val="Footer Char"/>
    <w:basedOn w:val="DefaultParagraphFont"/>
    <w:link w:val="Footer"/>
    <w:uiPriority w:val="99"/>
    <w:semiHidden/>
    <w:rsid w:val="00005A9F"/>
    <w:rPr>
      <w:rFonts w:ascii="Garamond" w:hAnsi="Garamond"/>
      <w:sz w:val="28"/>
      <w:szCs w:val="20"/>
      <w:lang w:val="en-US" w:eastAsia="en-US"/>
    </w:rPr>
  </w:style>
  <w:style w:type="paragraph" w:styleId="BodyTextIndent">
    <w:name w:val="Body Text Indent"/>
    <w:basedOn w:val="Normal"/>
    <w:link w:val="BodyTextIndentChar"/>
    <w:uiPriority w:val="99"/>
    <w:rsid w:val="00143EB8"/>
    <w:pPr>
      <w:ind w:left="360"/>
    </w:pPr>
  </w:style>
  <w:style w:type="character" w:customStyle="1" w:styleId="BodyTextIndentChar">
    <w:name w:val="Body Text Indent Char"/>
    <w:basedOn w:val="DefaultParagraphFont"/>
    <w:link w:val="BodyTextIndent"/>
    <w:uiPriority w:val="99"/>
    <w:semiHidden/>
    <w:rsid w:val="00005A9F"/>
    <w:rPr>
      <w:rFonts w:ascii="Garamond" w:hAnsi="Garamond"/>
      <w:sz w:val="28"/>
      <w:szCs w:val="20"/>
      <w:lang w:val="en-US" w:eastAsia="en-US"/>
    </w:rPr>
  </w:style>
  <w:style w:type="paragraph" w:styleId="BodyTextIndent2">
    <w:name w:val="Body Text Indent 2"/>
    <w:basedOn w:val="Normal"/>
    <w:link w:val="BodyTextIndent2Char"/>
    <w:uiPriority w:val="99"/>
    <w:rsid w:val="00143EB8"/>
    <w:pPr>
      <w:ind w:left="360"/>
    </w:pPr>
    <w:rPr>
      <w:sz w:val="24"/>
    </w:rPr>
  </w:style>
  <w:style w:type="character" w:customStyle="1" w:styleId="BodyTextIndent2Char">
    <w:name w:val="Body Text Indent 2 Char"/>
    <w:basedOn w:val="DefaultParagraphFont"/>
    <w:link w:val="BodyTextIndent2"/>
    <w:uiPriority w:val="99"/>
    <w:semiHidden/>
    <w:rsid w:val="00005A9F"/>
    <w:rPr>
      <w:rFonts w:ascii="Garamond" w:hAnsi="Garamond"/>
      <w:sz w:val="28"/>
      <w:szCs w:val="20"/>
      <w:lang w:val="en-US" w:eastAsia="en-US"/>
    </w:rPr>
  </w:style>
  <w:style w:type="paragraph" w:styleId="BalloonText">
    <w:name w:val="Balloon Text"/>
    <w:basedOn w:val="Normal"/>
    <w:link w:val="BalloonTextChar"/>
    <w:uiPriority w:val="99"/>
    <w:semiHidden/>
    <w:rsid w:val="00B21B79"/>
    <w:rPr>
      <w:rFonts w:ascii="Tahoma" w:hAnsi="Tahoma" w:cs="Tahoma"/>
      <w:sz w:val="16"/>
      <w:szCs w:val="16"/>
    </w:rPr>
  </w:style>
  <w:style w:type="character" w:customStyle="1" w:styleId="BalloonTextChar">
    <w:name w:val="Balloon Text Char"/>
    <w:basedOn w:val="DefaultParagraphFont"/>
    <w:link w:val="BalloonText"/>
    <w:uiPriority w:val="99"/>
    <w:semiHidden/>
    <w:rsid w:val="00005A9F"/>
    <w:rPr>
      <w:sz w:val="0"/>
      <w:sz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012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1076</Words>
  <Characters>6139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Commonly Asked Questions:</vt:lpstr>
    </vt:vector>
  </TitlesOfParts>
  <Company>City of Minneapolis</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Commonly Asked Questions:</dc:title>
  <dc:creator>jaaskmj0</dc:creator>
  <cp:lastModifiedBy>Primas, Kathryn (CI-StPaul)</cp:lastModifiedBy>
  <cp:revision>2</cp:revision>
  <cp:lastPrinted>2012-10-15T22:47:00Z</cp:lastPrinted>
  <dcterms:created xsi:type="dcterms:W3CDTF">2017-12-29T14:29:00Z</dcterms:created>
  <dcterms:modified xsi:type="dcterms:W3CDTF">2017-12-29T14:29:00Z</dcterms:modified>
</cp:coreProperties>
</file>