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CA" w:rsidRDefault="00F33ECA">
      <w:pPr>
        <w:pStyle w:val="Header"/>
        <w:tabs>
          <w:tab w:val="clear" w:pos="4320"/>
          <w:tab w:val="clear" w:pos="8640"/>
        </w:tabs>
        <w:spacing w:line="18" w:lineRule="exact"/>
        <w:rPr>
          <w:rFonts w:ascii="Arial" w:hAnsi="Arial"/>
          <w:noProof/>
          <w:snapToGrid/>
          <w:sz w:val="22"/>
        </w:rPr>
      </w:pPr>
    </w:p>
    <w:p w:rsidR="005F6082" w:rsidRDefault="00087E78">
      <w:pPr>
        <w:pStyle w:val="Header"/>
        <w:tabs>
          <w:tab w:val="clear" w:pos="4320"/>
          <w:tab w:val="clear" w:pos="8640"/>
        </w:tabs>
        <w:spacing w:line="18" w:lineRule="exact"/>
        <w:rPr>
          <w:rFonts w:ascii="Arial" w:hAnsi="Arial"/>
          <w:noProof/>
          <w:snapToGrid/>
          <w:sz w:val="22"/>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6400800</wp:posOffset>
                </wp:positionV>
                <wp:extent cx="5943600" cy="114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7in;width:468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" o:allowincell="f" fillcolor="black" strokeweight="1.5pt">
                <w10:wrap anchorx="page"/>
                <w10:anchorlock/>
              </v:rect>
            </w:pict>
          </mc:Fallback>
        </mc:AlternateContent>
      </w:r>
      <w:r>
        <w:rPr>
          <w:noProof/>
          <w:snapToGrid/>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1828800</wp:posOffset>
                </wp:positionV>
                <wp:extent cx="5943600" cy="114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2in;width:468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" o:allowincell="f" fillcolor="black" strokeweight="1.5pt">
                <w10:wrap anchorx="page"/>
                <w10:anchorlock/>
              </v:rect>
            </w:pict>
          </mc:Fallback>
        </mc:AlternateContent>
      </w:r>
    </w:p>
    <w:p w:rsidR="005F6082" w:rsidRDefault="00D00023">
      <w:pPr>
        <w:rPr>
          <w:rFonts w:ascii="Arial" w:hAnsi="Arial"/>
          <w:sz w:val="22"/>
        </w:rPr>
      </w:pPr>
      <w:r>
        <w:rPr>
          <w:noProof/>
          <w:sz w:val="20"/>
        </w:rPr>
        <mc:AlternateContent>
          <mc:Choice Requires="wps">
            <w:drawing>
              <wp:anchor distT="0" distB="0" distL="114300" distR="114300" simplePos="0" relativeHeight="251660288" behindDoc="1" locked="1" layoutInCell="0" allowOverlap="1">
                <wp:simplePos x="0" y="0"/>
                <wp:positionH relativeFrom="page">
                  <wp:posOffset>5486400</wp:posOffset>
                </wp:positionH>
                <wp:positionV relativeFrom="page">
                  <wp:posOffset>914400</wp:posOffset>
                </wp:positionV>
                <wp:extent cx="1476375" cy="356870"/>
                <wp:effectExtent l="0" t="0" r="0" b="0"/>
                <wp:wrapNone/>
                <wp:docPr id="1"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2" w:rsidRDefault="005E4292" w:rsidP="00D00023">
                            <w:pPr>
                              <w:pStyle w:val="DraftStampText"/>
                              <w:tabs>
                                <w:tab w:val="center" w:pos="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 o:spid="_x0000_s1026" type="#_x0000_t202" style="position:absolute;margin-left:6in;margin-top:1in;width:116.25pt;height:2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" o:allowincell="f" filled="f" stroked="f">
                <v:textbox inset="0,0,0,0">
                  <w:txbxContent>
                    <w:p w:rsidR="005E4292" w:rsidRDefault="005E4292" w:rsidP="00D00023">
                      <w:pPr>
                        <w:pStyle w:val="DraftStampText"/>
                        <w:tabs>
                          <w:tab w:val="center" w:pos="0"/>
                        </w:tabs>
                      </w:pPr>
                    </w:p>
                  </w:txbxContent>
                </v:textbox>
                <w10:wrap anchorx="page" anchory="page"/>
                <w10:anchorlock/>
              </v:shape>
            </w:pict>
          </mc:Fallback>
        </mc:AlternateContent>
      </w:r>
    </w:p>
    <w:p w:rsidR="005F6082" w:rsidRDefault="005F6082">
      <w:pPr>
        <w:rPr>
          <w:rFonts w:ascii="Arial" w:hAnsi="Arial"/>
          <w:sz w:val="22"/>
        </w:rPr>
      </w:pPr>
    </w:p>
    <w:p w:rsidR="005F6082" w:rsidRDefault="005F6082">
      <w:pPr>
        <w:rPr>
          <w:rFonts w:ascii="Arial" w:hAnsi="Arial"/>
          <w:sz w:val="22"/>
        </w:rPr>
      </w:pPr>
    </w:p>
    <w:p w:rsidR="005F6082" w:rsidRDefault="005F6082">
      <w:pPr>
        <w:rPr>
          <w:rFonts w:ascii="Arial" w:hAnsi="Arial"/>
          <w:sz w:val="22"/>
        </w:rPr>
      </w:pPr>
    </w:p>
    <w:p w:rsidR="005F6082" w:rsidRDefault="005F6082">
      <w:pPr>
        <w:rPr>
          <w:rFonts w:ascii="Arial" w:hAnsi="Arial"/>
          <w:sz w:val="22"/>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33"/>
        </w:rPr>
      </w:pPr>
      <w:r>
        <w:rPr>
          <w:rFonts w:ascii="Arial" w:hAnsi="Arial"/>
          <w:sz w:val="33"/>
        </w:rPr>
        <w:tab/>
      </w: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b/>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b/>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b/>
          <w:sz w:val="33"/>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b/>
          <w:sz w:val="33"/>
        </w:rPr>
      </w:pPr>
    </w:p>
    <w:p w:rsidR="005F6082" w:rsidRDefault="005F6082">
      <w:pPr>
        <w:pStyle w:val="BodyText"/>
        <w:rPr>
          <w:sz w:val="34"/>
        </w:rPr>
      </w:pPr>
      <w:r>
        <w:rPr>
          <w:sz w:val="34"/>
        </w:rPr>
        <w:t>MINNEAPOLIS/SAINT PAUL HOUSING FINANCE BOARD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3"/>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33"/>
        </w:rPr>
      </w:pPr>
    </w:p>
    <w:p w:rsidR="005F6082" w:rsidRDefault="007A2EF7">
      <w:pPr>
        <w:tabs>
          <w:tab w:val="center" w:pos="4680"/>
          <w:tab w:val="left" w:pos="5040"/>
          <w:tab w:val="left" w:pos="5760"/>
          <w:tab w:val="left" w:pos="6480"/>
          <w:tab w:val="left" w:pos="7200"/>
          <w:tab w:val="left" w:pos="7920"/>
          <w:tab w:val="left" w:pos="8640"/>
          <w:tab w:val="left" w:pos="9360"/>
        </w:tabs>
        <w:jc w:val="center"/>
        <w:rPr>
          <w:rFonts w:ascii="Arial" w:hAnsi="Arial"/>
          <w:i/>
          <w:sz w:val="40"/>
        </w:rPr>
      </w:pPr>
      <w:r>
        <w:rPr>
          <w:rFonts w:ascii="Arial" w:hAnsi="Arial"/>
          <w:i/>
          <w:sz w:val="40"/>
        </w:rPr>
        <w:t>20</w:t>
      </w:r>
      <w:r w:rsidRPr="005646C9">
        <w:rPr>
          <w:rFonts w:ascii="Arial" w:hAnsi="Arial"/>
          <w:i/>
          <w:sz w:val="40"/>
        </w:rPr>
        <w:t>1</w:t>
      </w:r>
      <w:r w:rsidR="0059479C">
        <w:rPr>
          <w:rFonts w:ascii="Arial" w:hAnsi="Arial"/>
          <w:i/>
          <w:sz w:val="40"/>
        </w:rPr>
        <w:t>9</w:t>
      </w:r>
      <w:r w:rsidR="005F6082">
        <w:rPr>
          <w:rFonts w:ascii="Arial" w:hAnsi="Arial"/>
          <w:i/>
          <w:sz w:val="40"/>
        </w:rPr>
        <w:t xml:space="preserve"> HOUSING</w:t>
      </w:r>
    </w:p>
    <w:p w:rsidR="005F6082" w:rsidRDefault="005F6082">
      <w:pPr>
        <w:tabs>
          <w:tab w:val="center" w:pos="4680"/>
          <w:tab w:val="left" w:pos="5040"/>
          <w:tab w:val="left" w:pos="5760"/>
          <w:tab w:val="left" w:pos="6480"/>
          <w:tab w:val="left" w:pos="7200"/>
          <w:tab w:val="left" w:pos="7920"/>
          <w:tab w:val="left" w:pos="8640"/>
          <w:tab w:val="left" w:pos="9360"/>
        </w:tabs>
        <w:jc w:val="center"/>
        <w:rPr>
          <w:rFonts w:ascii="Arial" w:hAnsi="Arial"/>
          <w:i/>
          <w:sz w:val="22"/>
        </w:rPr>
      </w:pPr>
      <w:r>
        <w:rPr>
          <w:rFonts w:ascii="Arial" w:hAnsi="Arial"/>
          <w:i/>
          <w:sz w:val="40"/>
        </w:rPr>
        <w:t>TAX CREDIT PROCEDURAL MANUAL</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rFonts w:ascii="Arial" w:hAnsi="Arial"/>
          <w:b/>
          <w:sz w:val="22"/>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22"/>
        </w:rPr>
      </w:pPr>
      <w:r>
        <w:rPr>
          <w:rFonts w:ascii="Arial" w:hAnsi="Arial"/>
          <w:b/>
          <w:sz w:val="22"/>
        </w:rPr>
        <w:tab/>
        <w:t xml:space="preserve">Published </w:t>
      </w:r>
      <w:r w:rsidR="00EE2A3B">
        <w:rPr>
          <w:rFonts w:ascii="Arial" w:hAnsi="Arial"/>
          <w:b/>
          <w:sz w:val="22"/>
        </w:rPr>
        <w:t>July 17</w:t>
      </w:r>
      <w:r w:rsidR="00864A55">
        <w:rPr>
          <w:rFonts w:ascii="Arial" w:hAnsi="Arial"/>
          <w:b/>
          <w:sz w:val="22"/>
        </w:rPr>
        <w:t>, 2018</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F6082" w:rsidRDefault="005F6082">
      <w:pPr>
        <w:tabs>
          <w:tab w:val="center" w:pos="468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br w:type="page"/>
      </w:r>
      <w:r>
        <w:rPr>
          <w:rFonts w:ascii="Arial" w:hAnsi="Arial"/>
          <w:sz w:val="22"/>
        </w:rPr>
        <w:lastRenderedPageBreak/>
        <w:tab/>
      </w:r>
      <w:r>
        <w:rPr>
          <w:rFonts w:ascii="Arial" w:hAnsi="Arial"/>
          <w:b/>
          <w:sz w:val="22"/>
          <w:u w:val="single"/>
        </w:rPr>
        <w:t>TABLE OF CONTENTS</w:t>
      </w:r>
    </w:p>
    <w:p w:rsidR="005F6082" w:rsidRDefault="005F6082">
      <w:pPr>
        <w:tabs>
          <w:tab w:val="right" w:pos="9360"/>
        </w:tabs>
        <w:rPr>
          <w:rFonts w:ascii="Arial" w:hAnsi="Arial"/>
          <w:sz w:val="22"/>
        </w:rPr>
      </w:pPr>
      <w:r>
        <w:rPr>
          <w:rFonts w:ascii="Arial" w:hAnsi="Arial"/>
          <w:sz w:val="22"/>
        </w:rPr>
        <w:tab/>
      </w:r>
      <w:r>
        <w:rPr>
          <w:rFonts w:ascii="Arial" w:hAnsi="Arial"/>
          <w:sz w:val="22"/>
          <w:u w:val="single"/>
        </w:rPr>
        <w:t>Page</w:t>
      </w:r>
    </w:p>
    <w:p w:rsidR="00864A55" w:rsidRPr="00864A55" w:rsidRDefault="00864A55" w:rsidP="00864A55">
      <w:pPr>
        <w:pStyle w:val="TOC1"/>
        <w:jc w:val="left"/>
        <w:rPr>
          <w:rFonts w:eastAsiaTheme="minorEastAsia"/>
        </w:rPr>
      </w:pPr>
      <w:bookmarkStart w:id="0" w:name="mpTableOfContents"/>
      <w:r w:rsidRPr="00864A55">
        <w:t>I. INTRODUCTION</w:t>
      </w:r>
      <w:r w:rsidRPr="00864A55">
        <w:tab/>
        <w:t>1</w:t>
      </w:r>
    </w:p>
    <w:p w:rsidR="00864A55" w:rsidRPr="00864A55" w:rsidRDefault="00864A55" w:rsidP="00864A55">
      <w:pPr>
        <w:pStyle w:val="TOC1"/>
        <w:jc w:val="left"/>
        <w:rPr>
          <w:rFonts w:eastAsiaTheme="minorEastAsia"/>
        </w:rPr>
      </w:pPr>
      <w:r w:rsidRPr="00864A55">
        <w:t>II. ROLE OF THE SUBALLOCATORS</w:t>
      </w:r>
      <w:r w:rsidRPr="00864A55">
        <w:tab/>
        <w:t>2</w:t>
      </w:r>
    </w:p>
    <w:p w:rsidR="00864A55" w:rsidRPr="00864A55" w:rsidRDefault="00864A55" w:rsidP="00EA688E">
      <w:pPr>
        <w:pStyle w:val="TOC1"/>
        <w:spacing w:after="120"/>
        <w:jc w:val="left"/>
        <w:rPr>
          <w:rFonts w:eastAsiaTheme="minorEastAsia"/>
        </w:rPr>
      </w:pPr>
      <w:r w:rsidRPr="00864A55">
        <w:t>III. POLICIES AND PROCEDURES</w:t>
      </w:r>
    </w:p>
    <w:p w:rsidR="00864A55" w:rsidRPr="00864A55" w:rsidRDefault="00864A55" w:rsidP="0050259F">
      <w:pPr>
        <w:pStyle w:val="TOC2"/>
        <w:rPr>
          <w:rFonts w:eastAsiaTheme="minorEastAsia"/>
        </w:rPr>
      </w:pPr>
      <w:r w:rsidRPr="00864A55">
        <w:t>A.</w:t>
      </w:r>
      <w:r w:rsidR="0050259F">
        <w:tab/>
      </w:r>
      <w:r w:rsidRPr="00864A55">
        <w:t>Allocation Policies</w:t>
      </w:r>
      <w:r w:rsidRPr="00864A55">
        <w:tab/>
        <w:t>2</w:t>
      </w:r>
    </w:p>
    <w:p w:rsidR="00864A55" w:rsidRPr="00864A55" w:rsidRDefault="00864A55" w:rsidP="0050259F">
      <w:pPr>
        <w:pStyle w:val="TOC2"/>
        <w:rPr>
          <w:rFonts w:eastAsiaTheme="minorEastAsia"/>
        </w:rPr>
      </w:pPr>
      <w:r w:rsidRPr="00864A55">
        <w:t>B.</w:t>
      </w:r>
      <w:r w:rsidR="0050259F">
        <w:tab/>
      </w:r>
      <w:r w:rsidRPr="00864A55">
        <w:t>Application Cycle</w:t>
      </w:r>
      <w:r w:rsidRPr="00864A55">
        <w:tab/>
        <w:t>3</w:t>
      </w:r>
    </w:p>
    <w:p w:rsidR="00864A55" w:rsidRPr="00864A55" w:rsidRDefault="00864A55" w:rsidP="0050259F">
      <w:pPr>
        <w:pStyle w:val="TOC2"/>
        <w:rPr>
          <w:rFonts w:eastAsiaTheme="minorEastAsia"/>
        </w:rPr>
      </w:pPr>
      <w:r w:rsidRPr="00864A55">
        <w:t>C.</w:t>
      </w:r>
      <w:r w:rsidR="0050259F">
        <w:tab/>
      </w:r>
      <w:r w:rsidRPr="00864A55">
        <w:t>Multiple Buildings</w:t>
      </w:r>
      <w:r w:rsidRPr="00864A55">
        <w:tab/>
        <w:t>4</w:t>
      </w:r>
    </w:p>
    <w:p w:rsidR="00864A55" w:rsidRPr="00864A55" w:rsidRDefault="00864A55" w:rsidP="0050259F">
      <w:pPr>
        <w:pStyle w:val="TOC2"/>
        <w:rPr>
          <w:rFonts w:eastAsiaTheme="minorEastAsia"/>
        </w:rPr>
      </w:pPr>
      <w:r w:rsidRPr="00864A55">
        <w:t>D.</w:t>
      </w:r>
      <w:r w:rsidR="0050259F">
        <w:tab/>
      </w:r>
      <w:r w:rsidRPr="00864A55">
        <w:t>Transfer of Ownership</w:t>
      </w:r>
      <w:r w:rsidRPr="00864A55">
        <w:tab/>
        <w:t>4</w:t>
      </w:r>
    </w:p>
    <w:p w:rsidR="00864A55" w:rsidRPr="00864A55" w:rsidRDefault="00864A55" w:rsidP="0050259F">
      <w:pPr>
        <w:pStyle w:val="TOC2"/>
        <w:rPr>
          <w:rFonts w:eastAsiaTheme="minorEastAsia"/>
        </w:rPr>
      </w:pPr>
      <w:r w:rsidRPr="00864A55">
        <w:t>E.</w:t>
      </w:r>
      <w:r w:rsidR="0050259F">
        <w:tab/>
      </w:r>
      <w:r w:rsidRPr="00864A55">
        <w:t>Unacceptable Practices</w:t>
      </w:r>
      <w:r w:rsidRPr="00864A55">
        <w:tab/>
        <w:t>4</w:t>
      </w:r>
    </w:p>
    <w:p w:rsidR="00864A55" w:rsidRPr="00864A55" w:rsidRDefault="00864A55" w:rsidP="0050259F">
      <w:pPr>
        <w:pStyle w:val="TOC2"/>
        <w:rPr>
          <w:rFonts w:eastAsiaTheme="minorEastAsia"/>
        </w:rPr>
      </w:pPr>
      <w:r w:rsidRPr="00864A55">
        <w:t>F.</w:t>
      </w:r>
      <w:r w:rsidR="0050259F">
        <w:tab/>
      </w:r>
      <w:r w:rsidRPr="00864A55">
        <w:t>Identity of Interest</w:t>
      </w:r>
      <w:r w:rsidRPr="00864A55">
        <w:tab/>
        <w:t>6</w:t>
      </w:r>
    </w:p>
    <w:p w:rsidR="00864A55" w:rsidRPr="00864A55" w:rsidRDefault="00864A55" w:rsidP="0050259F">
      <w:pPr>
        <w:pStyle w:val="TOC2"/>
        <w:rPr>
          <w:rFonts w:eastAsiaTheme="minorEastAsia"/>
        </w:rPr>
      </w:pPr>
      <w:r w:rsidRPr="00864A55">
        <w:t>G.</w:t>
      </w:r>
      <w:r w:rsidR="0050259F">
        <w:tab/>
      </w:r>
      <w:r w:rsidRPr="00864A55">
        <w:t>Disclosure of Interest</w:t>
      </w:r>
      <w:r w:rsidRPr="00864A55">
        <w:tab/>
        <w:t>6</w:t>
      </w:r>
    </w:p>
    <w:p w:rsidR="00864A55" w:rsidRPr="00864A55" w:rsidRDefault="00864A55" w:rsidP="0050259F">
      <w:pPr>
        <w:pStyle w:val="TOC2"/>
        <w:rPr>
          <w:rFonts w:eastAsiaTheme="minorEastAsia"/>
        </w:rPr>
      </w:pPr>
      <w:r w:rsidRPr="00864A55">
        <w:t>H.</w:t>
      </w:r>
      <w:r w:rsidR="0050259F">
        <w:tab/>
      </w:r>
      <w:r w:rsidRPr="00864A55">
        <w:t>Determination of HTC Amount</w:t>
      </w:r>
      <w:r w:rsidRPr="00864A55">
        <w:tab/>
        <w:t>7</w:t>
      </w:r>
    </w:p>
    <w:p w:rsidR="00864A55" w:rsidRPr="00864A55" w:rsidRDefault="00864A55" w:rsidP="0050259F">
      <w:pPr>
        <w:pStyle w:val="TOC2"/>
        <w:rPr>
          <w:rFonts w:eastAsiaTheme="minorEastAsia"/>
        </w:rPr>
      </w:pPr>
      <w:r w:rsidRPr="00864A55">
        <w:t>I.</w:t>
      </w:r>
      <w:r w:rsidR="0050259F">
        <w:tab/>
      </w:r>
      <w:r w:rsidRPr="00864A55">
        <w:t>Requests for Additional HTC Amounts</w:t>
      </w:r>
      <w:r w:rsidRPr="00864A55">
        <w:tab/>
        <w:t>8</w:t>
      </w:r>
    </w:p>
    <w:p w:rsidR="00864A55" w:rsidRDefault="00864A55" w:rsidP="0050259F">
      <w:pPr>
        <w:pStyle w:val="TOC2"/>
      </w:pPr>
      <w:r w:rsidRPr="00864A55">
        <w:t>J.</w:t>
      </w:r>
      <w:r w:rsidR="0050259F">
        <w:tab/>
      </w:r>
      <w:r w:rsidRPr="00864A55">
        <w:t>Qualified Census Tracts and Difficult Development Areas</w:t>
      </w:r>
      <w:r w:rsidRPr="00864A55">
        <w:tab/>
        <w:t>8</w:t>
      </w:r>
    </w:p>
    <w:p w:rsidR="00517947" w:rsidRDefault="00517947" w:rsidP="00517947">
      <w:pPr>
        <w:pStyle w:val="TOC2"/>
      </w:pPr>
      <w:r w:rsidRPr="00864A55">
        <w:t>J.</w:t>
      </w:r>
      <w:r>
        <w:tab/>
        <w:t>Tax Exempt Projects and 4% HTC</w:t>
      </w:r>
      <w:r w:rsidRPr="00864A55">
        <w:tab/>
      </w:r>
      <w:r w:rsidR="00381FFA">
        <w:t>9</w:t>
      </w:r>
    </w:p>
    <w:p w:rsidR="00864A55" w:rsidRPr="00864A55" w:rsidRDefault="00864A55" w:rsidP="0050259F">
      <w:pPr>
        <w:pStyle w:val="TOC2"/>
        <w:rPr>
          <w:rFonts w:eastAsiaTheme="minorEastAsia"/>
        </w:rPr>
      </w:pPr>
      <w:r w:rsidRPr="00864A55">
        <w:t>L.</w:t>
      </w:r>
      <w:r w:rsidR="0050259F">
        <w:tab/>
      </w:r>
      <w:r w:rsidRPr="00864A55">
        <w:t>Reservations</w:t>
      </w:r>
      <w:r w:rsidRPr="00864A55">
        <w:tab/>
        <w:t>1</w:t>
      </w:r>
      <w:r w:rsidR="00381FFA">
        <w:t>1</w:t>
      </w:r>
    </w:p>
    <w:p w:rsidR="00864A55" w:rsidRPr="00864A55" w:rsidRDefault="00864A55" w:rsidP="0050259F">
      <w:pPr>
        <w:pStyle w:val="TOC2"/>
        <w:rPr>
          <w:rFonts w:eastAsiaTheme="minorEastAsia"/>
        </w:rPr>
      </w:pPr>
      <w:r w:rsidRPr="00864A55">
        <w:t>M.</w:t>
      </w:r>
      <w:r w:rsidR="0050259F">
        <w:tab/>
      </w:r>
      <w:r w:rsidRPr="00864A55">
        <w:t>Administration Errors</w:t>
      </w:r>
      <w:r w:rsidRPr="00864A55">
        <w:tab/>
        <w:t>1</w:t>
      </w:r>
      <w:r w:rsidR="00381FFA">
        <w:t>2</w:t>
      </w:r>
    </w:p>
    <w:p w:rsidR="00864A55" w:rsidRPr="00864A55" w:rsidRDefault="00864A55" w:rsidP="0050259F">
      <w:pPr>
        <w:pStyle w:val="TOC2"/>
        <w:rPr>
          <w:rFonts w:eastAsiaTheme="minorEastAsia"/>
        </w:rPr>
      </w:pPr>
      <w:r w:rsidRPr="00864A55">
        <w:t xml:space="preserve">N. </w:t>
      </w:r>
      <w:r w:rsidR="0050259F">
        <w:tab/>
      </w:r>
      <w:r w:rsidRPr="00864A55">
        <w:t>Allocation of Returned or Additional 9% HTC – Waiting List</w:t>
      </w:r>
      <w:r w:rsidRPr="00864A55">
        <w:tab/>
        <w:t>1</w:t>
      </w:r>
      <w:r w:rsidR="00381FFA">
        <w:t>3</w:t>
      </w:r>
    </w:p>
    <w:p w:rsidR="00864A55" w:rsidRPr="00864A55" w:rsidRDefault="00864A55" w:rsidP="0050259F">
      <w:pPr>
        <w:pStyle w:val="TOC2"/>
        <w:rPr>
          <w:rFonts w:eastAsiaTheme="minorEastAsia"/>
        </w:rPr>
      </w:pPr>
      <w:r w:rsidRPr="00864A55">
        <w:t xml:space="preserve">O. </w:t>
      </w:r>
      <w:r w:rsidR="0050259F">
        <w:tab/>
      </w:r>
      <w:r w:rsidRPr="00864A55">
        <w:t>Carryover Allocations</w:t>
      </w:r>
      <w:r w:rsidRPr="00864A55">
        <w:tab/>
        <w:t>1</w:t>
      </w:r>
      <w:r w:rsidR="00381FFA">
        <w:t>3</w:t>
      </w:r>
    </w:p>
    <w:p w:rsidR="00864A55" w:rsidRPr="00864A55" w:rsidRDefault="00864A55" w:rsidP="0050259F">
      <w:pPr>
        <w:pStyle w:val="TOC2"/>
        <w:rPr>
          <w:rFonts w:eastAsiaTheme="minorEastAsia"/>
        </w:rPr>
      </w:pPr>
      <w:r w:rsidRPr="00864A55">
        <w:t xml:space="preserve">P. </w:t>
      </w:r>
      <w:r w:rsidR="0050259F">
        <w:tab/>
      </w:r>
      <w:r w:rsidRPr="00864A55">
        <w:t>Final Allocations</w:t>
      </w:r>
      <w:r w:rsidRPr="00864A55">
        <w:tab/>
        <w:t>1</w:t>
      </w:r>
      <w:r w:rsidR="00381FFA">
        <w:t>4</w:t>
      </w:r>
    </w:p>
    <w:p w:rsidR="00864A55" w:rsidRPr="00864A55" w:rsidRDefault="00864A55" w:rsidP="0050259F">
      <w:pPr>
        <w:pStyle w:val="TOC2"/>
        <w:rPr>
          <w:rFonts w:eastAsiaTheme="minorEastAsia"/>
        </w:rPr>
      </w:pPr>
      <w:r w:rsidRPr="00864A55">
        <w:t xml:space="preserve">Q. </w:t>
      </w:r>
      <w:r w:rsidR="0050259F">
        <w:tab/>
      </w:r>
      <w:r w:rsidRPr="00864A55">
        <w:t>Monitoring for Compliance</w:t>
      </w:r>
      <w:r w:rsidRPr="00864A55">
        <w:tab/>
        <w:t>1</w:t>
      </w:r>
      <w:r w:rsidR="00381FFA">
        <w:t>4</w:t>
      </w:r>
    </w:p>
    <w:p w:rsidR="00864A55" w:rsidRPr="00864A55" w:rsidRDefault="00864A55" w:rsidP="0050259F">
      <w:pPr>
        <w:pStyle w:val="TOC2"/>
        <w:rPr>
          <w:rFonts w:eastAsiaTheme="minorEastAsia"/>
        </w:rPr>
      </w:pPr>
      <w:r w:rsidRPr="00864A55">
        <w:t xml:space="preserve">R. </w:t>
      </w:r>
      <w:r w:rsidR="0050259F">
        <w:tab/>
      </w:r>
      <w:r w:rsidRPr="00864A55">
        <w:t>Qualified Contract</w:t>
      </w:r>
      <w:r w:rsidRPr="00864A55">
        <w:tab/>
        <w:t>1</w:t>
      </w:r>
      <w:r w:rsidR="00381FFA">
        <w:t>5</w:t>
      </w:r>
    </w:p>
    <w:p w:rsidR="00864A55" w:rsidRPr="00864A55" w:rsidRDefault="00864A55" w:rsidP="0050259F">
      <w:pPr>
        <w:pStyle w:val="TOC2"/>
        <w:rPr>
          <w:rFonts w:eastAsiaTheme="minorEastAsia"/>
        </w:rPr>
      </w:pPr>
      <w:r w:rsidRPr="00864A55">
        <w:t>S</w:t>
      </w:r>
      <w:r w:rsidR="0096684B">
        <w:t>.</w:t>
      </w:r>
      <w:r w:rsidRPr="00864A55">
        <w:tab/>
      </w:r>
      <w:r w:rsidR="0050259F">
        <w:t>Other Conditions</w:t>
      </w:r>
      <w:r w:rsidR="0050259F">
        <w:tab/>
      </w:r>
      <w:r w:rsidRPr="00864A55">
        <w:t>1</w:t>
      </w:r>
      <w:r w:rsidR="00381FFA">
        <w:t>6</w:t>
      </w:r>
    </w:p>
    <w:p w:rsidR="00864A55" w:rsidRDefault="00864A55" w:rsidP="0050259F">
      <w:pPr>
        <w:pStyle w:val="TOC2"/>
      </w:pPr>
      <w:r w:rsidRPr="00864A55">
        <w:t>T</w:t>
      </w:r>
      <w:r w:rsidR="0096684B">
        <w:t>.</w:t>
      </w:r>
      <w:r w:rsidR="0050259F">
        <w:tab/>
        <w:t>Revisions to Procedural Manual and QAP</w:t>
      </w:r>
      <w:r w:rsidR="0050259F">
        <w:tab/>
        <w:t>1</w:t>
      </w:r>
      <w:r w:rsidR="00381FFA">
        <w:t>6</w:t>
      </w:r>
    </w:p>
    <w:p w:rsidR="0050259F" w:rsidRDefault="0050259F" w:rsidP="0050259F">
      <w:pPr>
        <w:rPr>
          <w:rFonts w:eastAsiaTheme="minorEastAsia"/>
        </w:rPr>
      </w:pPr>
    </w:p>
    <w:p w:rsidR="0050259F" w:rsidRPr="0050259F" w:rsidRDefault="0050259F" w:rsidP="0050259F">
      <w:pPr>
        <w:rPr>
          <w:rFonts w:eastAsiaTheme="minorEastAsia"/>
        </w:rPr>
      </w:pPr>
    </w:p>
    <w:p w:rsidR="00864A55" w:rsidRPr="00864A55" w:rsidRDefault="00864A55" w:rsidP="00864A55">
      <w:pPr>
        <w:pStyle w:val="TOC1"/>
        <w:spacing w:after="120"/>
        <w:rPr>
          <w:rFonts w:eastAsiaTheme="minorEastAsia"/>
        </w:rPr>
      </w:pPr>
      <w:r w:rsidRPr="00864A55">
        <w:t>IV. HTC PROGRAM REQUIREMENTS</w:t>
      </w:r>
    </w:p>
    <w:p w:rsidR="00864A55" w:rsidRPr="00864A55" w:rsidRDefault="00864A55" w:rsidP="0050259F">
      <w:pPr>
        <w:pStyle w:val="TOC2"/>
        <w:rPr>
          <w:rFonts w:eastAsiaTheme="minorEastAsia"/>
        </w:rPr>
      </w:pPr>
      <w:r w:rsidRPr="00864A55">
        <w:t>A.</w:t>
      </w:r>
      <w:r w:rsidR="0050259F">
        <w:tab/>
      </w:r>
      <w:r w:rsidRPr="00864A55">
        <w:t>Eligible Activities</w:t>
      </w:r>
      <w:r w:rsidRPr="00864A55">
        <w:tab/>
        <w:t>1</w:t>
      </w:r>
      <w:r w:rsidR="00381FFA">
        <w:t>7</w:t>
      </w:r>
    </w:p>
    <w:p w:rsidR="00864A55" w:rsidRPr="00864A55" w:rsidRDefault="00864A55" w:rsidP="0050259F">
      <w:pPr>
        <w:pStyle w:val="TOC2"/>
        <w:rPr>
          <w:rFonts w:eastAsiaTheme="minorEastAsia"/>
        </w:rPr>
      </w:pPr>
      <w:r w:rsidRPr="00864A55">
        <w:t xml:space="preserve">B. </w:t>
      </w:r>
      <w:r w:rsidR="0050259F">
        <w:tab/>
      </w:r>
      <w:r w:rsidRPr="00864A55">
        <w:t>Applicable Percentage</w:t>
      </w:r>
      <w:r w:rsidRPr="00864A55">
        <w:tab/>
        <w:t>1</w:t>
      </w:r>
      <w:r w:rsidR="00381FFA">
        <w:t>7</w:t>
      </w:r>
    </w:p>
    <w:p w:rsidR="00864A55" w:rsidRPr="00864A55" w:rsidRDefault="00864A55" w:rsidP="0050259F">
      <w:pPr>
        <w:pStyle w:val="TOC2"/>
        <w:rPr>
          <w:rFonts w:eastAsiaTheme="minorEastAsia"/>
        </w:rPr>
      </w:pPr>
      <w:r w:rsidRPr="00864A55">
        <w:t xml:space="preserve">C. </w:t>
      </w:r>
      <w:r w:rsidR="0050259F">
        <w:tab/>
      </w:r>
      <w:r w:rsidRPr="00864A55">
        <w:t>Review of Federally Assisted Projects</w:t>
      </w:r>
      <w:r w:rsidRPr="00864A55">
        <w:tab/>
        <w:t>1</w:t>
      </w:r>
      <w:r w:rsidR="00381FFA">
        <w:t>8</w:t>
      </w:r>
    </w:p>
    <w:p w:rsidR="00864A55" w:rsidRPr="00864A55" w:rsidRDefault="00864A55" w:rsidP="0050259F">
      <w:pPr>
        <w:pStyle w:val="TOC2"/>
        <w:rPr>
          <w:rFonts w:eastAsiaTheme="minorEastAsia"/>
        </w:rPr>
      </w:pPr>
      <w:r w:rsidRPr="00864A55">
        <w:t xml:space="preserve">D. </w:t>
      </w:r>
      <w:r w:rsidR="0050259F">
        <w:tab/>
      </w:r>
      <w:r w:rsidRPr="00864A55">
        <w:t>Federal Subsidy Layering Review</w:t>
      </w:r>
      <w:r w:rsidRPr="00864A55">
        <w:tab/>
        <w:t>1</w:t>
      </w:r>
      <w:r w:rsidR="00381FFA">
        <w:t>8</w:t>
      </w:r>
    </w:p>
    <w:p w:rsidR="00864A55" w:rsidRPr="00864A55" w:rsidRDefault="00864A55" w:rsidP="0050259F">
      <w:pPr>
        <w:pStyle w:val="TOC2"/>
        <w:rPr>
          <w:rFonts w:eastAsiaTheme="minorEastAsia"/>
        </w:rPr>
      </w:pPr>
      <w:r w:rsidRPr="00864A55">
        <w:t xml:space="preserve">E. </w:t>
      </w:r>
      <w:r w:rsidR="0050259F">
        <w:tab/>
      </w:r>
      <w:r w:rsidRPr="00864A55">
        <w:t>Project Eligibility</w:t>
      </w:r>
      <w:r w:rsidRPr="00864A55">
        <w:tab/>
        <w:t>1</w:t>
      </w:r>
      <w:r w:rsidR="00381FFA">
        <w:t>8</w:t>
      </w:r>
    </w:p>
    <w:p w:rsidR="00864A55" w:rsidRPr="00864A55" w:rsidRDefault="00381FFA" w:rsidP="0050259F">
      <w:pPr>
        <w:pStyle w:val="TOC2"/>
        <w:rPr>
          <w:rFonts w:eastAsiaTheme="minorEastAsia"/>
        </w:rPr>
      </w:pPr>
      <w:r>
        <w:t>F</w:t>
      </w:r>
      <w:r w:rsidR="00864A55" w:rsidRPr="00864A55">
        <w:t xml:space="preserve">. </w:t>
      </w:r>
      <w:r w:rsidR="0050259F">
        <w:tab/>
      </w:r>
      <w:r w:rsidR="00864A55" w:rsidRPr="00864A55">
        <w:t>Tenant Eligibility</w:t>
      </w:r>
      <w:r w:rsidR="00864A55" w:rsidRPr="00864A55">
        <w:tab/>
      </w:r>
      <w:r>
        <w:t>20</w:t>
      </w:r>
    </w:p>
    <w:p w:rsidR="00864A55" w:rsidRDefault="00381FFA" w:rsidP="0050259F">
      <w:pPr>
        <w:pStyle w:val="TOC2"/>
      </w:pPr>
      <w:r>
        <w:t>G</w:t>
      </w:r>
      <w:r w:rsidR="00864A55" w:rsidRPr="00864A55">
        <w:t xml:space="preserve">. </w:t>
      </w:r>
      <w:r w:rsidR="0050259F">
        <w:tab/>
      </w:r>
      <w:r w:rsidR="00864A55" w:rsidRPr="00864A55">
        <w:t>Eligible Basis</w:t>
      </w:r>
      <w:r w:rsidR="00864A55" w:rsidRPr="00864A55">
        <w:tab/>
      </w:r>
      <w:r>
        <w:t>20</w:t>
      </w:r>
    </w:p>
    <w:p w:rsidR="00381FFA" w:rsidRPr="00381FFA" w:rsidRDefault="00381FFA" w:rsidP="00381FFA">
      <w:pPr>
        <w:pStyle w:val="TOC2"/>
        <w:rPr>
          <w:rFonts w:eastAsiaTheme="minorEastAsia"/>
        </w:rPr>
      </w:pPr>
      <w:r>
        <w:rPr>
          <w:rFonts w:eastAsiaTheme="minorEastAsia"/>
        </w:rPr>
        <w:t>H</w:t>
      </w:r>
      <w:r w:rsidRPr="00381FFA">
        <w:rPr>
          <w:rFonts w:eastAsiaTheme="minorEastAsia"/>
        </w:rPr>
        <w:t xml:space="preserve">. </w:t>
      </w:r>
      <w:r w:rsidRPr="00381FFA">
        <w:rPr>
          <w:rFonts w:eastAsiaTheme="minorEastAsia"/>
        </w:rPr>
        <w:tab/>
      </w:r>
      <w:r w:rsidR="00E41F0D">
        <w:rPr>
          <w:rFonts w:eastAsiaTheme="minorEastAsia"/>
        </w:rPr>
        <w:t>Qualified Basis/Applicable Fraction</w:t>
      </w:r>
      <w:r w:rsidR="00E41F0D">
        <w:rPr>
          <w:rFonts w:eastAsiaTheme="minorEastAsia"/>
        </w:rPr>
        <w:tab/>
        <w:t>21</w:t>
      </w:r>
    </w:p>
    <w:p w:rsidR="00864A55" w:rsidRPr="00864A55" w:rsidRDefault="00E41F0D" w:rsidP="0050259F">
      <w:pPr>
        <w:pStyle w:val="TOC2"/>
        <w:rPr>
          <w:rFonts w:eastAsiaTheme="minorEastAsia"/>
        </w:rPr>
      </w:pPr>
      <w:r>
        <w:t>I</w:t>
      </w:r>
      <w:r w:rsidR="00864A55" w:rsidRPr="00864A55">
        <w:t xml:space="preserve">. </w:t>
      </w:r>
      <w:r w:rsidR="0050259F">
        <w:tab/>
      </w:r>
      <w:r w:rsidR="00864A55" w:rsidRPr="00864A55">
        <w:t>Annual HTC Amount</w:t>
      </w:r>
      <w:r w:rsidR="00864A55" w:rsidRPr="00864A55">
        <w:tab/>
        <w:t>20</w:t>
      </w:r>
    </w:p>
    <w:p w:rsidR="00864A55" w:rsidRPr="00864A55" w:rsidRDefault="00E41F0D" w:rsidP="0050259F">
      <w:pPr>
        <w:pStyle w:val="TOC2"/>
        <w:rPr>
          <w:rFonts w:eastAsiaTheme="minorEastAsia"/>
        </w:rPr>
      </w:pPr>
      <w:r>
        <w:t>J</w:t>
      </w:r>
      <w:r w:rsidR="00864A55" w:rsidRPr="00864A55">
        <w:t xml:space="preserve">. </w:t>
      </w:r>
      <w:r w:rsidR="0050259F">
        <w:tab/>
      </w:r>
      <w:r w:rsidR="00864A55" w:rsidRPr="00864A55">
        <w:t>Declaration of Land Use Restrictive Covenants</w:t>
      </w:r>
      <w:r w:rsidR="00864A55" w:rsidRPr="00864A55">
        <w:tab/>
        <w:t>20</w:t>
      </w:r>
    </w:p>
    <w:p w:rsidR="00864A55" w:rsidRPr="00864A55" w:rsidRDefault="00E41F0D" w:rsidP="0050259F">
      <w:pPr>
        <w:pStyle w:val="TOC2"/>
        <w:rPr>
          <w:rFonts w:eastAsiaTheme="minorEastAsia"/>
        </w:rPr>
      </w:pPr>
      <w:r>
        <w:t>K</w:t>
      </w:r>
      <w:r w:rsidR="00864A55" w:rsidRPr="00864A55">
        <w:t xml:space="preserve">. </w:t>
      </w:r>
      <w:r w:rsidR="0050259F">
        <w:tab/>
      </w:r>
      <w:r w:rsidR="00864A55" w:rsidRPr="00864A55">
        <w:t>Ineligible Projects</w:t>
      </w:r>
      <w:r w:rsidR="00864A55" w:rsidRPr="00864A55">
        <w:tab/>
        <w:t>21</w:t>
      </w:r>
    </w:p>
    <w:p w:rsidR="00864A55" w:rsidRPr="00864A55" w:rsidRDefault="00E41F0D" w:rsidP="0050259F">
      <w:pPr>
        <w:pStyle w:val="TOC2"/>
        <w:rPr>
          <w:rFonts w:eastAsiaTheme="minorEastAsia"/>
        </w:rPr>
      </w:pPr>
      <w:r>
        <w:t>L</w:t>
      </w:r>
      <w:r w:rsidR="00864A55" w:rsidRPr="00864A55">
        <w:t xml:space="preserve">. </w:t>
      </w:r>
      <w:r w:rsidR="0050259F">
        <w:tab/>
      </w:r>
      <w:r w:rsidR="00864A55" w:rsidRPr="00864A55">
        <w:t>Limits On HTC:</w:t>
      </w:r>
      <w:r w:rsidR="00864A55" w:rsidRPr="00864A55">
        <w:tab/>
        <w:t>2</w:t>
      </w:r>
      <w:r>
        <w:t>3</w:t>
      </w:r>
    </w:p>
    <w:p w:rsidR="00864A55" w:rsidRPr="00864A55" w:rsidRDefault="00E41F0D" w:rsidP="0050259F">
      <w:pPr>
        <w:pStyle w:val="TOC2"/>
        <w:rPr>
          <w:rFonts w:eastAsiaTheme="minorEastAsia"/>
        </w:rPr>
      </w:pPr>
      <w:r>
        <w:t>M</w:t>
      </w:r>
      <w:r w:rsidR="00864A55" w:rsidRPr="00864A55">
        <w:t xml:space="preserve">. </w:t>
      </w:r>
      <w:r w:rsidR="0050259F">
        <w:tab/>
      </w:r>
      <w:r w:rsidR="00864A55" w:rsidRPr="00864A55">
        <w:t>Volume Limits:</w:t>
      </w:r>
      <w:r w:rsidR="00864A55" w:rsidRPr="00864A55">
        <w:tab/>
        <w:t>2</w:t>
      </w:r>
      <w:r>
        <w:t>3</w:t>
      </w:r>
    </w:p>
    <w:p w:rsidR="00864A55" w:rsidRPr="00864A55" w:rsidRDefault="00E41F0D" w:rsidP="0050259F">
      <w:pPr>
        <w:pStyle w:val="TOC2"/>
        <w:rPr>
          <w:rFonts w:eastAsiaTheme="minorEastAsia"/>
        </w:rPr>
      </w:pPr>
      <w:r>
        <w:t>N</w:t>
      </w:r>
      <w:r w:rsidR="00864A55" w:rsidRPr="00864A55">
        <w:t xml:space="preserve">. </w:t>
      </w:r>
      <w:r w:rsidR="0050259F">
        <w:tab/>
      </w:r>
      <w:r w:rsidR="00864A55" w:rsidRPr="00864A55">
        <w:t>Market Review</w:t>
      </w:r>
      <w:r w:rsidR="00864A55" w:rsidRPr="00864A55">
        <w:tab/>
        <w:t>2</w:t>
      </w:r>
      <w:r>
        <w:t>3</w:t>
      </w:r>
    </w:p>
    <w:p w:rsidR="00864A55" w:rsidRPr="00864A55" w:rsidRDefault="00E41F0D" w:rsidP="0050259F">
      <w:pPr>
        <w:pStyle w:val="TOC2"/>
        <w:rPr>
          <w:rFonts w:eastAsiaTheme="minorEastAsia"/>
        </w:rPr>
      </w:pPr>
      <w:r>
        <w:t>O</w:t>
      </w:r>
      <w:r w:rsidR="00864A55" w:rsidRPr="00864A55">
        <w:t xml:space="preserve">. </w:t>
      </w:r>
      <w:r w:rsidR="0050259F">
        <w:tab/>
      </w:r>
      <w:r w:rsidR="00864A55" w:rsidRPr="00864A55">
        <w:t>Tenant Ownership</w:t>
      </w:r>
      <w:r w:rsidR="00864A55" w:rsidRPr="00864A55">
        <w:tab/>
        <w:t>2</w:t>
      </w:r>
      <w:r>
        <w:t>3</w:t>
      </w:r>
    </w:p>
    <w:p w:rsidR="00864A55" w:rsidRDefault="00E41F0D" w:rsidP="0050259F">
      <w:pPr>
        <w:pStyle w:val="TOC2"/>
      </w:pPr>
      <w:r>
        <w:t>P</w:t>
      </w:r>
      <w:r w:rsidR="00864A55" w:rsidRPr="00864A55">
        <w:t xml:space="preserve">. </w:t>
      </w:r>
      <w:r w:rsidR="0050259F">
        <w:tab/>
      </w:r>
      <w:r w:rsidR="00864A55" w:rsidRPr="00864A55">
        <w:t>Revocation of HTC</w:t>
      </w:r>
      <w:r w:rsidR="00864A55" w:rsidRPr="00864A55">
        <w:tab/>
        <w:t>23</w:t>
      </w:r>
    </w:p>
    <w:p w:rsidR="00E41F0D" w:rsidRDefault="00E41F0D" w:rsidP="00E41F0D">
      <w:pPr>
        <w:pStyle w:val="TOC2"/>
      </w:pPr>
      <w:r>
        <w:t>Q</w:t>
      </w:r>
      <w:r w:rsidRPr="00864A55">
        <w:t xml:space="preserve">. </w:t>
      </w:r>
      <w:r>
        <w:tab/>
        <w:t>Fair Housing Policy</w:t>
      </w:r>
      <w:r>
        <w:tab/>
        <w:t>23</w:t>
      </w:r>
    </w:p>
    <w:p w:rsidR="00E41F0D" w:rsidRPr="00E41F0D" w:rsidRDefault="00E41F0D" w:rsidP="00E41F0D"/>
    <w:p w:rsidR="0050259F" w:rsidRPr="0050259F" w:rsidRDefault="0050259F" w:rsidP="0050259F">
      <w:pPr>
        <w:rPr>
          <w:rFonts w:eastAsiaTheme="minorEastAsia"/>
        </w:rPr>
      </w:pPr>
    </w:p>
    <w:p w:rsidR="00864A55" w:rsidRPr="00864A55" w:rsidRDefault="00864A55" w:rsidP="00864A55">
      <w:pPr>
        <w:pStyle w:val="TOC1"/>
        <w:spacing w:after="120"/>
        <w:rPr>
          <w:rFonts w:eastAsiaTheme="minorEastAsia"/>
        </w:rPr>
      </w:pPr>
      <w:r w:rsidRPr="00864A55">
        <w:t>V. DEVELOPMENT STANDARDS</w:t>
      </w:r>
    </w:p>
    <w:p w:rsidR="00864A55" w:rsidRPr="00864A55" w:rsidRDefault="00864A55" w:rsidP="0050259F">
      <w:pPr>
        <w:pStyle w:val="TOC2"/>
        <w:rPr>
          <w:rFonts w:eastAsiaTheme="minorEastAsia"/>
        </w:rPr>
      </w:pPr>
      <w:r w:rsidRPr="00864A55">
        <w:t xml:space="preserve">A. </w:t>
      </w:r>
      <w:r w:rsidR="0050259F">
        <w:tab/>
      </w:r>
      <w:r w:rsidRPr="00864A55">
        <w:t>Project Cost Reasonableness</w:t>
      </w:r>
      <w:r w:rsidRPr="00864A55">
        <w:tab/>
        <w:t>2</w:t>
      </w:r>
      <w:r w:rsidR="00E41F0D">
        <w:t>5</w:t>
      </w:r>
    </w:p>
    <w:p w:rsidR="00864A55" w:rsidRPr="00864A55" w:rsidRDefault="00864A55" w:rsidP="0050259F">
      <w:pPr>
        <w:pStyle w:val="TOC2"/>
        <w:rPr>
          <w:rFonts w:eastAsiaTheme="minorEastAsia"/>
        </w:rPr>
      </w:pPr>
      <w:r w:rsidRPr="00864A55">
        <w:t xml:space="preserve">B. </w:t>
      </w:r>
      <w:r w:rsidR="0050259F">
        <w:tab/>
      </w:r>
      <w:r w:rsidRPr="00864A55">
        <w:t>Costs of Intermediaries</w:t>
      </w:r>
      <w:r w:rsidRPr="00864A55">
        <w:tab/>
        <w:t>2</w:t>
      </w:r>
      <w:r w:rsidR="00E41F0D">
        <w:t>5</w:t>
      </w:r>
    </w:p>
    <w:p w:rsidR="00864A55" w:rsidRPr="00864A55" w:rsidRDefault="00864A55" w:rsidP="0050259F">
      <w:pPr>
        <w:pStyle w:val="TOC2"/>
        <w:rPr>
          <w:rFonts w:eastAsiaTheme="minorEastAsia"/>
        </w:rPr>
      </w:pPr>
      <w:r w:rsidRPr="00864A55">
        <w:t xml:space="preserve">C. </w:t>
      </w:r>
      <w:r w:rsidR="0050259F">
        <w:tab/>
      </w:r>
      <w:r w:rsidRPr="00864A55">
        <w:t>Reserves/Contingencies</w:t>
      </w:r>
      <w:r w:rsidRPr="00864A55">
        <w:tab/>
        <w:t>2</w:t>
      </w:r>
      <w:r w:rsidR="009945B8">
        <w:t>5</w:t>
      </w:r>
    </w:p>
    <w:p w:rsidR="00864A55" w:rsidRDefault="00864A55" w:rsidP="0050259F">
      <w:pPr>
        <w:pStyle w:val="TOC2"/>
      </w:pPr>
      <w:r w:rsidRPr="00864A55">
        <w:t xml:space="preserve">D. </w:t>
      </w:r>
      <w:r w:rsidR="0050259F">
        <w:tab/>
      </w:r>
      <w:r w:rsidRPr="00864A55">
        <w:t>Comparative Analyses</w:t>
      </w:r>
      <w:r w:rsidRPr="00864A55">
        <w:tab/>
        <w:t>2</w:t>
      </w:r>
      <w:r w:rsidR="009945B8">
        <w:t>5</w:t>
      </w:r>
    </w:p>
    <w:p w:rsidR="0050259F" w:rsidRPr="0050259F" w:rsidRDefault="0050259F" w:rsidP="0050259F">
      <w:pPr>
        <w:rPr>
          <w:rFonts w:eastAsiaTheme="minorEastAsia"/>
        </w:rPr>
      </w:pPr>
    </w:p>
    <w:p w:rsidR="00864A55" w:rsidRPr="00864A55" w:rsidRDefault="00864A55" w:rsidP="00864A55">
      <w:pPr>
        <w:pStyle w:val="TOC1"/>
        <w:spacing w:after="120"/>
        <w:rPr>
          <w:rFonts w:eastAsiaTheme="minorEastAsia"/>
        </w:rPr>
      </w:pPr>
      <w:r w:rsidRPr="00864A55">
        <w:t>VI. PROJECT SELECTION</w:t>
      </w:r>
    </w:p>
    <w:p w:rsidR="00864A55" w:rsidRPr="00864A55" w:rsidRDefault="00864A55" w:rsidP="0050259F">
      <w:pPr>
        <w:pStyle w:val="TOC2"/>
        <w:rPr>
          <w:rFonts w:eastAsiaTheme="minorEastAsia"/>
        </w:rPr>
      </w:pPr>
      <w:r w:rsidRPr="00864A55">
        <w:t xml:space="preserve">A. </w:t>
      </w:r>
      <w:r w:rsidR="0050259F">
        <w:tab/>
      </w:r>
      <w:r w:rsidRPr="00864A55">
        <w:t>Threshold Requirements</w:t>
      </w:r>
      <w:r w:rsidRPr="00864A55">
        <w:tab/>
        <w:t>2</w:t>
      </w:r>
      <w:r w:rsidR="00E41F0D">
        <w:t>6</w:t>
      </w:r>
    </w:p>
    <w:p w:rsidR="00864A55" w:rsidRPr="00864A55" w:rsidRDefault="00864A55" w:rsidP="0050259F">
      <w:pPr>
        <w:pStyle w:val="TOC2"/>
        <w:rPr>
          <w:rFonts w:eastAsiaTheme="minorEastAsia"/>
        </w:rPr>
      </w:pPr>
      <w:r w:rsidRPr="00864A55">
        <w:t xml:space="preserve">B. </w:t>
      </w:r>
      <w:r w:rsidR="0050259F">
        <w:tab/>
      </w:r>
      <w:r w:rsidRPr="00864A55">
        <w:t>Market Review</w:t>
      </w:r>
      <w:r w:rsidRPr="00864A55">
        <w:tab/>
        <w:t>2</w:t>
      </w:r>
      <w:r w:rsidR="00E41F0D">
        <w:t>6</w:t>
      </w:r>
    </w:p>
    <w:p w:rsidR="00864A55" w:rsidRPr="00864A55" w:rsidRDefault="00864A55" w:rsidP="0050259F">
      <w:pPr>
        <w:pStyle w:val="TOC2"/>
        <w:rPr>
          <w:rFonts w:eastAsiaTheme="minorEastAsia"/>
        </w:rPr>
      </w:pPr>
      <w:r w:rsidRPr="00864A55">
        <w:t xml:space="preserve">C. </w:t>
      </w:r>
      <w:r w:rsidR="0050259F">
        <w:tab/>
      </w:r>
      <w:r w:rsidRPr="00864A55">
        <w:t>Site Review</w:t>
      </w:r>
      <w:r w:rsidRPr="00864A55">
        <w:tab/>
        <w:t>2</w:t>
      </w:r>
      <w:r w:rsidR="009945B8">
        <w:t>7</w:t>
      </w:r>
    </w:p>
    <w:p w:rsidR="00864A55" w:rsidRPr="00864A55" w:rsidRDefault="00864A55" w:rsidP="0050259F">
      <w:pPr>
        <w:pStyle w:val="TOC2"/>
        <w:rPr>
          <w:rFonts w:eastAsiaTheme="minorEastAsia"/>
        </w:rPr>
      </w:pPr>
      <w:r w:rsidRPr="00864A55">
        <w:t xml:space="preserve">D. </w:t>
      </w:r>
      <w:r w:rsidR="0050259F">
        <w:tab/>
      </w:r>
      <w:r w:rsidRPr="00864A55">
        <w:t>Selection Priorities</w:t>
      </w:r>
      <w:r w:rsidRPr="00864A55">
        <w:tab/>
        <w:t>2</w:t>
      </w:r>
      <w:r w:rsidR="009945B8">
        <w:t>8</w:t>
      </w:r>
    </w:p>
    <w:p w:rsidR="00864A55" w:rsidRPr="00864A55" w:rsidRDefault="001A6D81" w:rsidP="0050259F">
      <w:pPr>
        <w:pStyle w:val="TOC2"/>
        <w:rPr>
          <w:rFonts w:eastAsiaTheme="minorEastAsia"/>
        </w:rPr>
      </w:pPr>
      <w:r>
        <w:t>E.</w:t>
      </w:r>
      <w:r w:rsidR="0050259F">
        <w:tab/>
      </w:r>
      <w:r w:rsidR="00864A55" w:rsidRPr="00864A55">
        <w:t>Management Review</w:t>
      </w:r>
      <w:r w:rsidR="00864A55" w:rsidRPr="00864A55">
        <w:tab/>
        <w:t>2</w:t>
      </w:r>
      <w:r w:rsidR="009945B8">
        <w:t>8</w:t>
      </w:r>
    </w:p>
    <w:p w:rsidR="00864A55" w:rsidRDefault="00864A55" w:rsidP="0050259F">
      <w:pPr>
        <w:pStyle w:val="TOC2"/>
      </w:pPr>
      <w:r w:rsidRPr="00864A55">
        <w:t xml:space="preserve">F. </w:t>
      </w:r>
      <w:r w:rsidR="0050259F">
        <w:tab/>
      </w:r>
      <w:r w:rsidRPr="00864A55">
        <w:t>Compliance Agreement</w:t>
      </w:r>
      <w:r w:rsidRPr="00864A55">
        <w:tab/>
        <w:t>2</w:t>
      </w:r>
      <w:r w:rsidR="009945B8">
        <w:t>8</w:t>
      </w:r>
    </w:p>
    <w:p w:rsidR="0050259F" w:rsidRPr="0050259F" w:rsidRDefault="0050259F" w:rsidP="0050259F">
      <w:pPr>
        <w:rPr>
          <w:rFonts w:eastAsiaTheme="minorEastAsia"/>
        </w:rPr>
      </w:pPr>
    </w:p>
    <w:p w:rsidR="00864A55" w:rsidRPr="00864A55" w:rsidRDefault="00864A55" w:rsidP="00864A55">
      <w:pPr>
        <w:pStyle w:val="TOC1"/>
        <w:spacing w:after="120"/>
        <w:rPr>
          <w:rFonts w:eastAsiaTheme="minorEastAsia"/>
        </w:rPr>
      </w:pPr>
      <w:r w:rsidRPr="00864A55">
        <w:t>VII. SUBMISSION REQUIREMENTS</w:t>
      </w:r>
    </w:p>
    <w:p w:rsidR="00864A55" w:rsidRPr="00864A55" w:rsidRDefault="00864A55" w:rsidP="0050259F">
      <w:pPr>
        <w:pStyle w:val="TOC2"/>
        <w:rPr>
          <w:rFonts w:eastAsiaTheme="minorEastAsia"/>
        </w:rPr>
      </w:pPr>
      <w:r w:rsidRPr="00864A55">
        <w:t xml:space="preserve">A. </w:t>
      </w:r>
      <w:r w:rsidR="0050259F">
        <w:tab/>
      </w:r>
      <w:r w:rsidRPr="00864A55">
        <w:t>Application Requirements</w:t>
      </w:r>
      <w:r w:rsidRPr="00864A55">
        <w:tab/>
        <w:t>2</w:t>
      </w:r>
      <w:r w:rsidR="00E41F0D">
        <w:t>9</w:t>
      </w:r>
    </w:p>
    <w:p w:rsidR="00864A55" w:rsidRPr="00864A55" w:rsidRDefault="00864A55" w:rsidP="0050259F">
      <w:pPr>
        <w:pStyle w:val="TOC2"/>
        <w:rPr>
          <w:rFonts w:eastAsiaTheme="minorEastAsia"/>
        </w:rPr>
      </w:pPr>
      <w:r w:rsidRPr="00864A55">
        <w:t xml:space="preserve">B. </w:t>
      </w:r>
      <w:r w:rsidR="0050259F">
        <w:tab/>
      </w:r>
      <w:r w:rsidRPr="00864A55">
        <w:t>Submission Requirements for Projects Financed with Tax-Exempt Bonds</w:t>
      </w:r>
      <w:r w:rsidRPr="00864A55">
        <w:tab/>
        <w:t>3</w:t>
      </w:r>
      <w:r w:rsidR="0057228B">
        <w:t>1</w:t>
      </w:r>
    </w:p>
    <w:p w:rsidR="00864A55" w:rsidRPr="00864A55" w:rsidRDefault="00864A55" w:rsidP="0050259F">
      <w:pPr>
        <w:pStyle w:val="TOC2"/>
        <w:rPr>
          <w:rFonts w:eastAsiaTheme="minorEastAsia"/>
        </w:rPr>
      </w:pPr>
      <w:r w:rsidRPr="00864A55">
        <w:t xml:space="preserve">C. </w:t>
      </w:r>
      <w:r w:rsidR="0050259F">
        <w:tab/>
      </w:r>
      <w:r w:rsidRPr="00864A55">
        <w:t>Carryover Allocation Requirements</w:t>
      </w:r>
      <w:r w:rsidRPr="00864A55">
        <w:tab/>
        <w:t>3</w:t>
      </w:r>
      <w:r w:rsidR="009945B8">
        <w:t>3</w:t>
      </w:r>
    </w:p>
    <w:p w:rsidR="00864A55" w:rsidRDefault="00864A55" w:rsidP="0050259F">
      <w:pPr>
        <w:pStyle w:val="TOC2"/>
      </w:pPr>
      <w:r w:rsidRPr="00864A55">
        <w:t xml:space="preserve">D. </w:t>
      </w:r>
      <w:r w:rsidR="0050259F">
        <w:tab/>
      </w:r>
      <w:r w:rsidRPr="00864A55">
        <w:t>Placed in Service – Final Allocation</w:t>
      </w:r>
      <w:r w:rsidRPr="00864A55">
        <w:tab/>
        <w:t>3</w:t>
      </w:r>
      <w:r w:rsidR="009945B8">
        <w:t>5</w:t>
      </w:r>
    </w:p>
    <w:p w:rsidR="0050259F" w:rsidRPr="0050259F" w:rsidRDefault="0050259F" w:rsidP="0050259F">
      <w:pPr>
        <w:rPr>
          <w:rFonts w:eastAsiaTheme="minorEastAsia"/>
        </w:rPr>
      </w:pPr>
    </w:p>
    <w:p w:rsidR="00864A55" w:rsidRPr="00864A55" w:rsidRDefault="00864A55" w:rsidP="00864A55">
      <w:pPr>
        <w:pStyle w:val="TOC1"/>
        <w:spacing w:after="120"/>
        <w:rPr>
          <w:rFonts w:eastAsiaTheme="minorEastAsia"/>
        </w:rPr>
      </w:pPr>
      <w:r w:rsidRPr="00864A55">
        <w:t>VIII. FEES</w:t>
      </w:r>
    </w:p>
    <w:p w:rsidR="00864A55" w:rsidRPr="00864A55" w:rsidRDefault="00864A55" w:rsidP="0050259F">
      <w:pPr>
        <w:pStyle w:val="TOC2"/>
        <w:rPr>
          <w:rFonts w:eastAsiaTheme="minorEastAsia"/>
        </w:rPr>
      </w:pPr>
      <w:r w:rsidRPr="00864A55">
        <w:t xml:space="preserve">A. </w:t>
      </w:r>
      <w:r w:rsidR="0050259F">
        <w:tab/>
      </w:r>
      <w:r w:rsidRPr="00864A55">
        <w:t>Application Fee</w:t>
      </w:r>
      <w:r w:rsidRPr="00864A55">
        <w:tab/>
        <w:t>3</w:t>
      </w:r>
      <w:r w:rsidR="0057228B">
        <w:t>7</w:t>
      </w:r>
    </w:p>
    <w:p w:rsidR="00864A55" w:rsidRPr="00864A55" w:rsidRDefault="00864A55" w:rsidP="0050259F">
      <w:pPr>
        <w:pStyle w:val="TOC2"/>
        <w:rPr>
          <w:rFonts w:eastAsiaTheme="minorEastAsia"/>
        </w:rPr>
      </w:pPr>
      <w:r w:rsidRPr="00864A55">
        <w:t xml:space="preserve">B. </w:t>
      </w:r>
      <w:r w:rsidR="0050259F">
        <w:tab/>
      </w:r>
      <w:r w:rsidRPr="00864A55">
        <w:t>Allocation Special Counsel Fee</w:t>
      </w:r>
      <w:r w:rsidRPr="00864A55">
        <w:tab/>
        <w:t>3</w:t>
      </w:r>
      <w:r w:rsidR="0057228B">
        <w:t>7</w:t>
      </w:r>
    </w:p>
    <w:p w:rsidR="00864A55" w:rsidRPr="00864A55" w:rsidRDefault="00864A55" w:rsidP="0050259F">
      <w:pPr>
        <w:pStyle w:val="TOC2"/>
        <w:rPr>
          <w:rFonts w:eastAsiaTheme="minorEastAsia"/>
        </w:rPr>
      </w:pPr>
      <w:r w:rsidRPr="00864A55">
        <w:t xml:space="preserve">C. </w:t>
      </w:r>
      <w:r w:rsidR="0050259F">
        <w:tab/>
      </w:r>
      <w:r w:rsidRPr="00864A55">
        <w:t>Allocation Fee</w:t>
      </w:r>
      <w:r w:rsidRPr="00864A55">
        <w:tab/>
        <w:t>3</w:t>
      </w:r>
      <w:r w:rsidR="0057228B">
        <w:t>7</w:t>
      </w:r>
    </w:p>
    <w:p w:rsidR="00864A55" w:rsidRPr="00864A55" w:rsidRDefault="00864A55" w:rsidP="0050259F">
      <w:pPr>
        <w:pStyle w:val="TOC2"/>
        <w:rPr>
          <w:rFonts w:eastAsiaTheme="minorEastAsia"/>
        </w:rPr>
      </w:pPr>
      <w:r w:rsidRPr="00864A55">
        <w:t xml:space="preserve">D. </w:t>
      </w:r>
      <w:r w:rsidR="0050259F">
        <w:tab/>
      </w:r>
      <w:r w:rsidRPr="00864A55">
        <w:t>Monitoring Fee</w:t>
      </w:r>
      <w:r w:rsidRPr="00864A55">
        <w:tab/>
        <w:t>3</w:t>
      </w:r>
      <w:r w:rsidR="009945B8">
        <w:t>7</w:t>
      </w:r>
    </w:p>
    <w:p w:rsidR="00864A55" w:rsidRPr="00864A55" w:rsidRDefault="00864A55" w:rsidP="0050259F">
      <w:pPr>
        <w:pStyle w:val="TOC2"/>
        <w:rPr>
          <w:rFonts w:eastAsiaTheme="minorEastAsia"/>
        </w:rPr>
      </w:pPr>
      <w:r w:rsidRPr="00864A55">
        <w:t xml:space="preserve">E. </w:t>
      </w:r>
      <w:r w:rsidR="0050259F">
        <w:tab/>
      </w:r>
      <w:r w:rsidRPr="00864A55">
        <w:t>Transfer of Ownership Fee</w:t>
      </w:r>
      <w:r w:rsidRPr="00864A55">
        <w:tab/>
        <w:t>3</w:t>
      </w:r>
      <w:r w:rsidR="0057228B">
        <w:t>8</w:t>
      </w:r>
    </w:p>
    <w:p w:rsidR="00864A55" w:rsidRPr="00864A55" w:rsidRDefault="00864A55" w:rsidP="0050259F">
      <w:pPr>
        <w:pStyle w:val="TOC2"/>
        <w:rPr>
          <w:rFonts w:eastAsiaTheme="minorEastAsia"/>
        </w:rPr>
      </w:pPr>
      <w:r w:rsidRPr="00864A55">
        <w:t xml:space="preserve">F. </w:t>
      </w:r>
      <w:r w:rsidR="0050259F">
        <w:tab/>
      </w:r>
      <w:r w:rsidRPr="00864A55">
        <w:t>Late Fee</w:t>
      </w:r>
      <w:r w:rsidRPr="00864A55">
        <w:tab/>
        <w:t>3</w:t>
      </w:r>
      <w:r w:rsidR="0057228B">
        <w:t>8</w:t>
      </w:r>
    </w:p>
    <w:p w:rsidR="00864A55" w:rsidRPr="00864A55" w:rsidRDefault="00864A55" w:rsidP="0050259F">
      <w:pPr>
        <w:pStyle w:val="TOC2"/>
        <w:rPr>
          <w:rFonts w:eastAsiaTheme="minorEastAsia"/>
        </w:rPr>
      </w:pPr>
      <w:r w:rsidRPr="00864A55">
        <w:t xml:space="preserve">G. </w:t>
      </w:r>
      <w:r w:rsidR="0050259F">
        <w:tab/>
      </w:r>
      <w:r w:rsidRPr="00864A55">
        <w:t>Qualified Contract Fee</w:t>
      </w:r>
      <w:r w:rsidRPr="00864A55">
        <w:tab/>
        <w:t>3</w:t>
      </w:r>
      <w:r w:rsidR="0057228B">
        <w:t>8</w:t>
      </w:r>
    </w:p>
    <w:bookmarkEnd w:id="0"/>
    <w:p w:rsidR="005F6082" w:rsidRDefault="005F6082" w:rsidP="00864A55">
      <w:pPr>
        <w:sectPr w:rsidR="005F6082">
          <w:footerReference w:type="default" r:id="rId9"/>
          <w:endnotePr>
            <w:numFmt w:val="decimal"/>
          </w:endnotePr>
          <w:type w:val="continuous"/>
          <w:pgSz w:w="12240" w:h="15840" w:code="1"/>
          <w:pgMar w:top="1440" w:right="1440" w:bottom="1440" w:left="1440" w:header="720" w:footer="720" w:gutter="0"/>
          <w:cols w:space="720"/>
          <w:noEndnote/>
        </w:sectPr>
      </w:pPr>
    </w:p>
    <w:p w:rsidR="005F6082" w:rsidRPr="00BD797D" w:rsidRDefault="005F6082" w:rsidP="005243D4">
      <w:pPr>
        <w:pStyle w:val="Heading1"/>
        <w:spacing w:before="0" w:after="0"/>
        <w:jc w:val="center"/>
        <w:rPr>
          <w:rFonts w:ascii="Arial" w:hAnsi="Arial"/>
          <w:sz w:val="22"/>
        </w:rPr>
      </w:pPr>
      <w:bookmarkStart w:id="1" w:name="_Toc511902980"/>
      <w:r w:rsidRPr="00BD797D">
        <w:rPr>
          <w:rFonts w:ascii="Arial" w:hAnsi="Arial"/>
          <w:sz w:val="22"/>
        </w:rPr>
        <w:lastRenderedPageBreak/>
        <w:t>I.</w:t>
      </w:r>
      <w:r w:rsidRPr="00BD797D">
        <w:rPr>
          <w:rFonts w:ascii="Arial" w:hAnsi="Arial"/>
          <w:sz w:val="22"/>
        </w:rPr>
        <w:tab/>
        <w:t>INTRODUCTION</w:t>
      </w:r>
      <w:r w:rsidRPr="00BD797D">
        <w:rPr>
          <w:rFonts w:ascii="Arial" w:hAnsi="Arial"/>
          <w:sz w:val="22"/>
        </w:rPr>
        <w:fldChar w:fldCharType="begin"/>
      </w:r>
      <w:r w:rsidRPr="00BD797D">
        <w:rPr>
          <w:rFonts w:ascii="Arial" w:hAnsi="Arial"/>
          <w:sz w:val="22"/>
        </w:rPr>
        <w:instrText>tc \l1 "I.</w:instrText>
      </w:r>
      <w:r w:rsidRPr="00BD797D">
        <w:rPr>
          <w:rFonts w:ascii="Arial" w:hAnsi="Arial"/>
          <w:sz w:val="22"/>
        </w:rPr>
        <w:tab/>
        <w:instrText>INTRODUCTION</w:instrText>
      </w:r>
      <w:r w:rsidRPr="00BD797D">
        <w:rPr>
          <w:rFonts w:ascii="Arial" w:hAnsi="Arial"/>
          <w:sz w:val="22"/>
        </w:rPr>
        <w:fldChar w:fldCharType="end"/>
      </w:r>
      <w:bookmarkEnd w:id="1"/>
    </w:p>
    <w:p w:rsidR="005F6082" w:rsidRDefault="005F6082" w:rsidP="005E4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napToGrid/>
          <w:sz w:val="22"/>
        </w:rPr>
      </w:pPr>
      <w:r>
        <w:rPr>
          <w:rFonts w:ascii="Arial" w:hAnsi="Arial"/>
          <w:sz w:val="22"/>
        </w:rPr>
        <w:t xml:space="preserve">The </w:t>
      </w:r>
      <w:r w:rsidR="004729E4">
        <w:rPr>
          <w:rFonts w:ascii="Arial" w:hAnsi="Arial"/>
          <w:sz w:val="22"/>
        </w:rPr>
        <w:t>Housing Tax Credit (the "HTC") Program (the “</w:t>
      </w:r>
      <w:r>
        <w:rPr>
          <w:rFonts w:ascii="Arial" w:hAnsi="Arial"/>
          <w:sz w:val="22"/>
        </w:rPr>
        <w:t xml:space="preserve">HTC Program”) was enacted as part of the federal Tax Reform Act of 1986.  The </w:t>
      </w:r>
      <w:r w:rsidR="00BD7596">
        <w:rPr>
          <w:rFonts w:ascii="Arial" w:hAnsi="Arial"/>
          <w:sz w:val="22"/>
        </w:rPr>
        <w:t>HTC</w:t>
      </w:r>
      <w:r>
        <w:rPr>
          <w:rFonts w:ascii="Arial" w:hAnsi="Arial"/>
          <w:sz w:val="22"/>
        </w:rPr>
        <w:t xml:space="preserve"> Program is governed by Section 42 (</w:t>
      </w:r>
      <w:r w:rsidR="005E4CC2">
        <w:rPr>
          <w:rFonts w:ascii="Arial" w:hAnsi="Arial"/>
          <w:sz w:val="22"/>
        </w:rPr>
        <w:t>“</w:t>
      </w:r>
      <w:r>
        <w:rPr>
          <w:rFonts w:ascii="Arial" w:hAnsi="Arial"/>
          <w:sz w:val="22"/>
        </w:rPr>
        <w:t>Section</w:t>
      </w:r>
      <w:r w:rsidR="00AA4B9D">
        <w:rPr>
          <w:rFonts w:ascii="Arial" w:hAnsi="Arial"/>
          <w:sz w:val="22"/>
        </w:rPr>
        <w:t> </w:t>
      </w:r>
      <w:r>
        <w:rPr>
          <w:rFonts w:ascii="Arial" w:hAnsi="Arial"/>
          <w:sz w:val="22"/>
        </w:rPr>
        <w:t>42”) of the Internal Revenue Code of 1986 (the “Code”) and the Treasury Regulations thereunder (the</w:t>
      </w:r>
      <w:r w:rsidR="004729E4">
        <w:rPr>
          <w:rFonts w:ascii="Arial" w:hAnsi="Arial"/>
          <w:sz w:val="22"/>
        </w:rPr>
        <w:t xml:space="preserve"> “Treasury Regulations”). </w:t>
      </w:r>
      <w:r w:rsidR="00AA4B9D">
        <w:rPr>
          <w:rFonts w:ascii="Arial" w:hAnsi="Arial"/>
          <w:sz w:val="22"/>
        </w:rPr>
        <w:t xml:space="preserve"> </w:t>
      </w:r>
      <w:r w:rsidR="004729E4">
        <w:rPr>
          <w:rFonts w:ascii="Arial" w:hAnsi="Arial"/>
          <w:sz w:val="22"/>
        </w:rPr>
        <w:t xml:space="preserve">The </w:t>
      </w:r>
      <w:r>
        <w:rPr>
          <w:rFonts w:ascii="Arial" w:hAnsi="Arial"/>
          <w:sz w:val="22"/>
        </w:rPr>
        <w:t>HTC offers a reduction in tax liability to owners of qualified low-income rental housing projects relating to the acquisition, construction or rehabilitation of low-income rental housing units.</w:t>
      </w: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p>
    <w:p w:rsidR="00D00023" w:rsidRDefault="00D00023" w:rsidP="00D00023">
      <w:pPr>
        <w:ind w:left="720"/>
        <w:jc w:val="both"/>
        <w:rPr>
          <w:rFonts w:ascii="Arial" w:hAnsi="Arial"/>
          <w:sz w:val="22"/>
        </w:rPr>
      </w:pPr>
      <w:r>
        <w:rPr>
          <w:rFonts w:ascii="Arial" w:hAnsi="Arial"/>
          <w:sz w:val="22"/>
        </w:rPr>
        <w:t>Pursuant to Section 42 of the Code, each state is required to designate a “housing c</w:t>
      </w:r>
      <w:r w:rsidR="004729E4">
        <w:rPr>
          <w:rFonts w:ascii="Arial" w:hAnsi="Arial"/>
          <w:sz w:val="22"/>
        </w:rPr>
        <w:t xml:space="preserve">redit agency” to allocate the HTC and administer the </w:t>
      </w:r>
      <w:r>
        <w:rPr>
          <w:rFonts w:ascii="Arial" w:hAnsi="Arial"/>
          <w:sz w:val="22"/>
        </w:rPr>
        <w:t>HTC Program.  The Minnesota H</w:t>
      </w:r>
      <w:r w:rsidR="004729E4">
        <w:rPr>
          <w:rFonts w:ascii="Arial" w:hAnsi="Arial"/>
          <w:sz w:val="22"/>
        </w:rPr>
        <w:t>ousing Finance Agency (the "Minnesota Housing</w:t>
      </w:r>
      <w:r>
        <w:rPr>
          <w:rFonts w:ascii="Arial" w:hAnsi="Arial"/>
          <w:sz w:val="22"/>
        </w:rPr>
        <w:t>") has been designated by the Minnesota Legislatur</w:t>
      </w:r>
      <w:r w:rsidR="004729E4">
        <w:rPr>
          <w:rFonts w:ascii="Arial" w:hAnsi="Arial"/>
          <w:sz w:val="22"/>
        </w:rPr>
        <w:t xml:space="preserve">e as the primary allocator of </w:t>
      </w:r>
      <w:r>
        <w:rPr>
          <w:rFonts w:ascii="Arial" w:hAnsi="Arial"/>
          <w:sz w:val="22"/>
        </w:rPr>
        <w:t>HTC in Minnesota.  In addition, pursuant to Minnesota Statues, Sections 462A.220 to 462A. 225 (the "Act") certain local governmental entities are authorized to act as housing credit agencies for the purpose of allocating a portion of the avai</w:t>
      </w:r>
      <w:r w:rsidR="004729E4">
        <w:rPr>
          <w:rFonts w:ascii="Arial" w:hAnsi="Arial"/>
          <w:sz w:val="22"/>
        </w:rPr>
        <w:t xml:space="preserve">lable state 9% </w:t>
      </w:r>
      <w:r w:rsidR="00BD7596">
        <w:rPr>
          <w:rFonts w:ascii="Arial" w:hAnsi="Arial"/>
          <w:sz w:val="22"/>
        </w:rPr>
        <w:t>HTC</w:t>
      </w:r>
      <w:r w:rsidR="004729E4">
        <w:rPr>
          <w:rFonts w:ascii="Arial" w:hAnsi="Arial"/>
          <w:sz w:val="22"/>
        </w:rPr>
        <w:t xml:space="preserve"> (the “9% </w:t>
      </w:r>
      <w:r>
        <w:rPr>
          <w:rFonts w:ascii="Arial" w:hAnsi="Arial"/>
          <w:sz w:val="22"/>
        </w:rPr>
        <w:t>HTC”).  Pursuant to the Act, the City Councils of the Cities of Minneapolis (“Minneapolis”) and Saint Paul (“S</w:t>
      </w:r>
      <w:r w:rsidR="006B7C0C">
        <w:rPr>
          <w:rFonts w:ascii="Arial" w:hAnsi="Arial"/>
          <w:sz w:val="22"/>
        </w:rPr>
        <w:t>aint</w:t>
      </w:r>
      <w:r>
        <w:rPr>
          <w:rFonts w:ascii="Arial" w:hAnsi="Arial"/>
          <w:sz w:val="22"/>
        </w:rPr>
        <w:t xml:space="preserve"> Paul”) have authorized the Minneapolis/Saint Paul Housing Finance Board (the "Board") to act as the housing credit agency for purposes of Section 42 of the Code with res</w:t>
      </w:r>
      <w:r w:rsidR="004729E4">
        <w:rPr>
          <w:rFonts w:ascii="Arial" w:hAnsi="Arial"/>
          <w:sz w:val="22"/>
        </w:rPr>
        <w:t>pect to the portion of the 9% HTC allocated by Minnesota Housing</w:t>
      </w:r>
      <w:r>
        <w:rPr>
          <w:rFonts w:ascii="Arial" w:hAnsi="Arial"/>
          <w:sz w:val="22"/>
        </w:rPr>
        <w:t xml:space="preserve"> for each city, as well as with res</w:t>
      </w:r>
      <w:r w:rsidR="004729E4">
        <w:rPr>
          <w:rFonts w:ascii="Arial" w:hAnsi="Arial"/>
          <w:sz w:val="22"/>
        </w:rPr>
        <w:t xml:space="preserve">pect to the allocation of the </w:t>
      </w:r>
      <w:r>
        <w:rPr>
          <w:rFonts w:ascii="Arial" w:hAnsi="Arial"/>
          <w:sz w:val="22"/>
        </w:rPr>
        <w:t>HTC available in connection with the issuance of t</w:t>
      </w:r>
      <w:r w:rsidR="004729E4">
        <w:rPr>
          <w:rFonts w:ascii="Arial" w:hAnsi="Arial"/>
          <w:sz w:val="22"/>
        </w:rPr>
        <w:t xml:space="preserve">ax-exempt bonds (the “4% </w:t>
      </w:r>
      <w:r>
        <w:rPr>
          <w:rFonts w:ascii="Arial" w:hAnsi="Arial"/>
          <w:sz w:val="22"/>
        </w:rPr>
        <w:t>HTC”) issued pursuant to Section 142 of the Code.</w:t>
      </w:r>
    </w:p>
    <w:p w:rsidR="00D00023" w:rsidRDefault="00D00023" w:rsidP="00D00023">
      <w:pPr>
        <w:ind w:left="720"/>
        <w:jc w:val="both"/>
        <w:rPr>
          <w:rFonts w:ascii="Arial" w:hAnsi="Arial"/>
          <w:sz w:val="22"/>
        </w:rPr>
      </w:pPr>
    </w:p>
    <w:p w:rsidR="00D00023" w:rsidRDefault="004729E4" w:rsidP="00D00023">
      <w:pPr>
        <w:ind w:left="720"/>
        <w:jc w:val="both"/>
        <w:rPr>
          <w:rFonts w:ascii="Arial" w:hAnsi="Arial"/>
          <w:sz w:val="22"/>
        </w:rPr>
      </w:pPr>
      <w:r>
        <w:rPr>
          <w:rFonts w:ascii="Arial" w:hAnsi="Arial"/>
          <w:sz w:val="22"/>
        </w:rPr>
        <w:t xml:space="preserve">This 2019 </w:t>
      </w:r>
      <w:r w:rsidR="00D00023">
        <w:rPr>
          <w:rFonts w:ascii="Arial" w:hAnsi="Arial"/>
          <w:sz w:val="22"/>
        </w:rPr>
        <w:t xml:space="preserve">Housing Tax Credit Procedural Manual (“Procedural Manual”) governs </w:t>
      </w:r>
      <w:r>
        <w:rPr>
          <w:rFonts w:ascii="Arial" w:hAnsi="Arial"/>
          <w:sz w:val="22"/>
        </w:rPr>
        <w:t xml:space="preserve">both the allocation of the 9% HTC and the 4% </w:t>
      </w:r>
      <w:r w:rsidR="00D00023">
        <w:rPr>
          <w:rFonts w:ascii="Arial" w:hAnsi="Arial"/>
          <w:sz w:val="22"/>
        </w:rPr>
        <w:t xml:space="preserve">HTC by the Board.  </w:t>
      </w:r>
      <w:r w:rsidR="00D00023" w:rsidRPr="004729E4">
        <w:rPr>
          <w:rFonts w:ascii="Arial" w:hAnsi="Arial"/>
          <w:sz w:val="22"/>
        </w:rPr>
        <w:t xml:space="preserve">This Procedural Manual </w:t>
      </w:r>
      <w:r w:rsidR="00225734" w:rsidRPr="004729E4">
        <w:rPr>
          <w:rFonts w:ascii="Arial" w:hAnsi="Arial"/>
          <w:sz w:val="22"/>
        </w:rPr>
        <w:t xml:space="preserve">constitutes </w:t>
      </w:r>
      <w:r w:rsidR="00D00023" w:rsidRPr="004729E4">
        <w:rPr>
          <w:rFonts w:ascii="Arial" w:hAnsi="Arial"/>
          <w:sz w:val="22"/>
        </w:rPr>
        <w:t>a part of the Qualified Allocation Plan described in the following paragraph.</w:t>
      </w: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Section 42(m) of the Code requires tax credit allocating agencies, such as the Board, to develop a qualified allocation plan</w:t>
      </w:r>
      <w:r w:rsidR="004729E4">
        <w:rPr>
          <w:rFonts w:ascii="Arial" w:hAnsi="Arial"/>
          <w:sz w:val="22"/>
        </w:rPr>
        <w:t xml:space="preserve"> for the allocation of the 9% HTC and the 4% </w:t>
      </w:r>
      <w:r>
        <w:rPr>
          <w:rFonts w:ascii="Arial" w:hAnsi="Arial"/>
          <w:sz w:val="22"/>
        </w:rPr>
        <w:t>HTC within the jurisdiction of the allocating agency.  The Qualified Allocation Plan (“Q</w:t>
      </w:r>
      <w:r w:rsidR="004729E4">
        <w:rPr>
          <w:rFonts w:ascii="Arial" w:hAnsi="Arial"/>
          <w:sz w:val="22"/>
        </w:rPr>
        <w:t>AP</w:t>
      </w:r>
      <w:r>
        <w:rPr>
          <w:rFonts w:ascii="Arial" w:hAnsi="Arial"/>
          <w:sz w:val="22"/>
        </w:rPr>
        <w:t>”)</w:t>
      </w:r>
      <w:r w:rsidR="006B7C0C">
        <w:rPr>
          <w:rFonts w:ascii="Arial" w:hAnsi="Arial"/>
          <w:sz w:val="22"/>
        </w:rPr>
        <w:t>,</w:t>
      </w:r>
      <w:r>
        <w:rPr>
          <w:rFonts w:ascii="Arial" w:hAnsi="Arial"/>
          <w:sz w:val="22"/>
        </w:rPr>
        <w:t xml:space="preserve"> attached hereto as Exhibit A</w:t>
      </w:r>
      <w:r w:rsidR="006B7C0C">
        <w:rPr>
          <w:rFonts w:ascii="Arial" w:hAnsi="Arial"/>
          <w:sz w:val="22"/>
        </w:rPr>
        <w:t>,</w:t>
      </w:r>
      <w:r>
        <w:rPr>
          <w:rFonts w:ascii="Arial" w:hAnsi="Arial"/>
          <w:sz w:val="22"/>
        </w:rPr>
        <w:t xml:space="preserve"> sets forth those housing priorities and housing preferences required by Section 42 of the Code, together with housing priorities established by the Board</w:t>
      </w:r>
      <w:r w:rsidR="006B7C0C">
        <w:rPr>
          <w:rFonts w:ascii="Arial" w:hAnsi="Arial"/>
          <w:sz w:val="22"/>
        </w:rPr>
        <w:t>.</w:t>
      </w:r>
      <w:r w:rsidR="004729E4">
        <w:rPr>
          <w:rFonts w:ascii="Arial" w:hAnsi="Arial"/>
          <w:sz w:val="22"/>
        </w:rPr>
        <w:t xml:space="preserve">  The QAP</w:t>
      </w:r>
      <w:r>
        <w:rPr>
          <w:rFonts w:ascii="Arial" w:hAnsi="Arial"/>
          <w:sz w:val="22"/>
        </w:rPr>
        <w:t xml:space="preserve">, together with this Procedural Manual, provide policies and procedures for the allocation of </w:t>
      </w:r>
      <w:r>
        <w:rPr>
          <w:rFonts w:ascii="Arial" w:hAnsi="Arial" w:cs="Arial"/>
          <w:sz w:val="22"/>
          <w:szCs w:val="22"/>
        </w:rPr>
        <w:t>HTC by the Board</w:t>
      </w:r>
      <w:r w:rsidR="004729E4">
        <w:rPr>
          <w:rFonts w:ascii="Arial" w:hAnsi="Arial"/>
          <w:sz w:val="22"/>
        </w:rPr>
        <w:t>. The QAP</w:t>
      </w:r>
      <w:r>
        <w:rPr>
          <w:rFonts w:ascii="Arial" w:hAnsi="Arial"/>
          <w:sz w:val="22"/>
        </w:rPr>
        <w:t xml:space="preserve"> and this Procedural Manual may be amended from time to time as new guidelines and regulations are issued pursuant to the Code and/or the Act or as the Board deems neces</w:t>
      </w:r>
      <w:r w:rsidR="004729E4">
        <w:rPr>
          <w:rFonts w:ascii="Arial" w:hAnsi="Arial"/>
          <w:sz w:val="22"/>
        </w:rPr>
        <w:t xml:space="preserve">sary to meet the goals of the </w:t>
      </w:r>
      <w:r>
        <w:rPr>
          <w:rFonts w:ascii="Arial" w:hAnsi="Arial"/>
          <w:sz w:val="22"/>
        </w:rPr>
        <w:t>HTC Program.</w:t>
      </w: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D00023" w:rsidRDefault="00D00023" w:rsidP="00D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 xml:space="preserve">Pursuant to Section 42 </w:t>
      </w:r>
      <w:r w:rsidR="004729E4">
        <w:rPr>
          <w:rFonts w:ascii="Arial" w:hAnsi="Arial"/>
          <w:sz w:val="22"/>
        </w:rPr>
        <w:t xml:space="preserve">of the Code, the Board, as an </w:t>
      </w:r>
      <w:r>
        <w:rPr>
          <w:rFonts w:ascii="Arial" w:hAnsi="Arial"/>
          <w:sz w:val="22"/>
        </w:rPr>
        <w:t xml:space="preserve">HTC allocating agency, is required to provide procedures for monitoring projects for compliance with the requirements of the </w:t>
      </w:r>
      <w:r w:rsidR="00BD7596">
        <w:rPr>
          <w:rFonts w:ascii="Arial" w:hAnsi="Arial"/>
          <w:sz w:val="22"/>
        </w:rPr>
        <w:t>HTC</w:t>
      </w:r>
      <w:r>
        <w:rPr>
          <w:rFonts w:ascii="Arial" w:hAnsi="Arial"/>
          <w:sz w:val="22"/>
        </w:rPr>
        <w:t xml:space="preserve"> Program and for notifying the Internal Revenue Service (“IRS”) of any non-compliance.  All applicants should review </w:t>
      </w:r>
      <w:r w:rsidR="005F135E">
        <w:rPr>
          <w:rFonts w:ascii="Arial" w:hAnsi="Arial"/>
          <w:sz w:val="22"/>
        </w:rPr>
        <w:t>Treasury Reg</w:t>
      </w:r>
      <w:r w:rsidR="001A6D81">
        <w:rPr>
          <w:rFonts w:ascii="Arial" w:hAnsi="Arial"/>
          <w:sz w:val="22"/>
        </w:rPr>
        <w:t>ulation</w:t>
      </w:r>
      <w:r w:rsidR="005F135E">
        <w:rPr>
          <w:rFonts w:ascii="Arial" w:hAnsi="Arial"/>
          <w:sz w:val="22"/>
        </w:rPr>
        <w:t xml:space="preserve"> §1.42-5, Monitoring compliance with low-income housing requirements and Section 42, Housing Tax Credit Program Compliance Manual for Minneapolis – Saint Paul Housing Finance Board, </w:t>
      </w:r>
      <w:r w:rsidRPr="005F135E">
        <w:rPr>
          <w:rFonts w:ascii="Arial" w:hAnsi="Arial"/>
          <w:sz w:val="22"/>
        </w:rPr>
        <w:t>which are a p</w:t>
      </w:r>
      <w:r w:rsidR="005F135E" w:rsidRPr="005F135E">
        <w:rPr>
          <w:rFonts w:ascii="Arial" w:hAnsi="Arial"/>
          <w:sz w:val="22"/>
        </w:rPr>
        <w:t>art of the QAP</w:t>
      </w:r>
      <w:r w:rsidRPr="005F135E">
        <w:rPr>
          <w:rFonts w:ascii="Arial" w:hAnsi="Arial"/>
          <w:sz w:val="22"/>
        </w:rPr>
        <w:t xml:space="preserve">, </w:t>
      </w:r>
      <w:r w:rsidR="006B7C0C" w:rsidRPr="005F135E">
        <w:rPr>
          <w:rFonts w:ascii="Arial" w:hAnsi="Arial"/>
          <w:sz w:val="22"/>
        </w:rPr>
        <w:t xml:space="preserve">and </w:t>
      </w:r>
      <w:r w:rsidRPr="005F135E">
        <w:rPr>
          <w:rFonts w:ascii="Arial" w:hAnsi="Arial"/>
          <w:sz w:val="22"/>
        </w:rPr>
        <w:t>attached hereto as Exhibit Q.</w:t>
      </w:r>
    </w:p>
    <w:p w:rsidR="007406F5" w:rsidRDefault="00740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9D39A0" w:rsidRDefault="009D39A0" w:rsidP="009D3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sidRPr="009D39A0">
        <w:rPr>
          <w:rFonts w:ascii="Arial" w:hAnsi="Arial"/>
          <w:sz w:val="22"/>
        </w:rPr>
        <w:t xml:space="preserve">The publication of this </w:t>
      </w:r>
      <w:r>
        <w:rPr>
          <w:rFonts w:ascii="Arial" w:hAnsi="Arial"/>
          <w:sz w:val="22"/>
        </w:rPr>
        <w:t xml:space="preserve">Procedural </w:t>
      </w:r>
      <w:r w:rsidRPr="009D39A0">
        <w:rPr>
          <w:rFonts w:ascii="Arial" w:hAnsi="Arial"/>
          <w:sz w:val="22"/>
        </w:rPr>
        <w:t>Manual is for convenience only and is to be used only as a supplement to</w:t>
      </w:r>
      <w:r>
        <w:rPr>
          <w:rFonts w:ascii="Arial" w:hAnsi="Arial"/>
          <w:sz w:val="22"/>
        </w:rPr>
        <w:t xml:space="preserve"> </w:t>
      </w:r>
      <w:r w:rsidRPr="009D39A0">
        <w:rPr>
          <w:rFonts w:ascii="Arial" w:hAnsi="Arial"/>
          <w:sz w:val="22"/>
        </w:rPr>
        <w:t xml:space="preserve">existing laws and </w:t>
      </w:r>
      <w:r w:rsidR="00D67710">
        <w:rPr>
          <w:rFonts w:ascii="Arial" w:hAnsi="Arial"/>
          <w:sz w:val="22"/>
        </w:rPr>
        <w:t xml:space="preserve">regulations.  </w:t>
      </w:r>
      <w:r w:rsidRPr="009D39A0">
        <w:rPr>
          <w:rFonts w:ascii="Arial" w:hAnsi="Arial"/>
          <w:sz w:val="22"/>
        </w:rPr>
        <w:t xml:space="preserve">This </w:t>
      </w:r>
      <w:r>
        <w:rPr>
          <w:rFonts w:ascii="Arial" w:hAnsi="Arial"/>
          <w:sz w:val="22"/>
        </w:rPr>
        <w:t xml:space="preserve">Procedural </w:t>
      </w:r>
      <w:r w:rsidRPr="009D39A0">
        <w:rPr>
          <w:rFonts w:ascii="Arial" w:hAnsi="Arial"/>
          <w:sz w:val="22"/>
        </w:rPr>
        <w:t>Manual is not intended to be a comprehensive guide to the</w:t>
      </w:r>
      <w:r w:rsidR="005F135E">
        <w:rPr>
          <w:rFonts w:ascii="Arial" w:hAnsi="Arial"/>
          <w:sz w:val="22"/>
        </w:rPr>
        <w:t xml:space="preserve"> </w:t>
      </w:r>
      <w:r w:rsidRPr="009D39A0">
        <w:rPr>
          <w:rFonts w:ascii="Arial" w:hAnsi="Arial"/>
          <w:sz w:val="22"/>
        </w:rPr>
        <w:t>HTC</w:t>
      </w:r>
      <w:r>
        <w:rPr>
          <w:rFonts w:ascii="Arial" w:hAnsi="Arial"/>
          <w:sz w:val="22"/>
        </w:rPr>
        <w:t xml:space="preserve"> </w:t>
      </w:r>
      <w:r w:rsidRPr="009D39A0">
        <w:rPr>
          <w:rFonts w:ascii="Arial" w:hAnsi="Arial"/>
          <w:sz w:val="22"/>
        </w:rPr>
        <w:t xml:space="preserve">Program and all of its requirements. This </w:t>
      </w:r>
      <w:r>
        <w:rPr>
          <w:rFonts w:ascii="Arial" w:hAnsi="Arial"/>
          <w:sz w:val="22"/>
        </w:rPr>
        <w:t xml:space="preserve">Procedural </w:t>
      </w:r>
      <w:r w:rsidRPr="009D39A0">
        <w:rPr>
          <w:rFonts w:ascii="Arial" w:hAnsi="Arial"/>
          <w:sz w:val="22"/>
        </w:rPr>
        <w:t>Manual was designed to assist owners and managers</w:t>
      </w:r>
      <w:r>
        <w:rPr>
          <w:rFonts w:ascii="Arial" w:hAnsi="Arial"/>
          <w:sz w:val="22"/>
        </w:rPr>
        <w:t xml:space="preserve"> </w:t>
      </w:r>
      <w:r w:rsidR="005F135E">
        <w:rPr>
          <w:rFonts w:ascii="Arial" w:hAnsi="Arial"/>
          <w:sz w:val="22"/>
        </w:rPr>
        <w:t xml:space="preserve">of </w:t>
      </w:r>
      <w:r w:rsidRPr="009D39A0">
        <w:rPr>
          <w:rFonts w:ascii="Arial" w:hAnsi="Arial"/>
          <w:sz w:val="22"/>
        </w:rPr>
        <w:t xml:space="preserve">HTC </w:t>
      </w:r>
      <w:r>
        <w:rPr>
          <w:rFonts w:ascii="Arial" w:hAnsi="Arial"/>
          <w:sz w:val="22"/>
        </w:rPr>
        <w:t xml:space="preserve">projects </w:t>
      </w:r>
      <w:r w:rsidRPr="009D39A0">
        <w:rPr>
          <w:rFonts w:ascii="Arial" w:hAnsi="Arial"/>
          <w:sz w:val="22"/>
        </w:rPr>
        <w:t xml:space="preserve">to better ensure that the </w:t>
      </w:r>
      <w:r>
        <w:rPr>
          <w:rFonts w:ascii="Arial" w:hAnsi="Arial"/>
          <w:sz w:val="22"/>
        </w:rPr>
        <w:t>project</w:t>
      </w:r>
      <w:r w:rsidRPr="009D39A0">
        <w:rPr>
          <w:rFonts w:ascii="Arial" w:hAnsi="Arial"/>
          <w:sz w:val="22"/>
        </w:rPr>
        <w:t>s remain in</w:t>
      </w:r>
      <w:r>
        <w:rPr>
          <w:rFonts w:ascii="Arial" w:hAnsi="Arial"/>
          <w:sz w:val="22"/>
        </w:rPr>
        <w:t xml:space="preserve"> compliance with Section </w:t>
      </w:r>
      <w:r w:rsidRPr="009D39A0">
        <w:rPr>
          <w:rFonts w:ascii="Arial" w:hAnsi="Arial"/>
          <w:sz w:val="22"/>
        </w:rPr>
        <w:t xml:space="preserve">42 of the Code. </w:t>
      </w:r>
      <w:r w:rsidRPr="009D39A0">
        <w:rPr>
          <w:rFonts w:ascii="Arial" w:hAnsi="Arial"/>
          <w:sz w:val="22"/>
        </w:rPr>
        <w:lastRenderedPageBreak/>
        <w:t>Your use or reliance upon any of the provisions contained in</w:t>
      </w:r>
      <w:r>
        <w:rPr>
          <w:rFonts w:ascii="Arial" w:hAnsi="Arial"/>
          <w:sz w:val="22"/>
        </w:rPr>
        <w:t xml:space="preserve"> </w:t>
      </w:r>
      <w:r w:rsidRPr="009D39A0">
        <w:rPr>
          <w:rFonts w:ascii="Arial" w:hAnsi="Arial"/>
          <w:sz w:val="22"/>
        </w:rPr>
        <w:t xml:space="preserve">this </w:t>
      </w:r>
      <w:r>
        <w:rPr>
          <w:rFonts w:ascii="Arial" w:hAnsi="Arial"/>
          <w:sz w:val="22"/>
        </w:rPr>
        <w:t xml:space="preserve">Procedural </w:t>
      </w:r>
      <w:r w:rsidRPr="009D39A0">
        <w:rPr>
          <w:rFonts w:ascii="Arial" w:hAnsi="Arial"/>
          <w:sz w:val="22"/>
        </w:rPr>
        <w:t>Manual does not, expressly or impliedly, directly or indirectly, suggest, represent or warrant</w:t>
      </w:r>
      <w:r>
        <w:rPr>
          <w:rFonts w:ascii="Arial" w:hAnsi="Arial"/>
          <w:sz w:val="22"/>
        </w:rPr>
        <w:t xml:space="preserve"> </w:t>
      </w:r>
      <w:r w:rsidRPr="009D39A0">
        <w:rPr>
          <w:rFonts w:ascii="Arial" w:hAnsi="Arial"/>
          <w:sz w:val="22"/>
        </w:rPr>
        <w:t>that the user will be in compl</w:t>
      </w:r>
      <w:r>
        <w:rPr>
          <w:rFonts w:ascii="Arial" w:hAnsi="Arial"/>
          <w:sz w:val="22"/>
        </w:rPr>
        <w:t xml:space="preserve">iance with the requirements of Section </w:t>
      </w:r>
      <w:r w:rsidRPr="009D39A0">
        <w:rPr>
          <w:rFonts w:ascii="Arial" w:hAnsi="Arial"/>
          <w:sz w:val="22"/>
        </w:rPr>
        <w:t xml:space="preserve">42 of the Code. The </w:t>
      </w:r>
      <w:r>
        <w:rPr>
          <w:rFonts w:ascii="Arial" w:hAnsi="Arial"/>
          <w:sz w:val="22"/>
        </w:rPr>
        <w:t xml:space="preserve">Board </w:t>
      </w:r>
      <w:r w:rsidRPr="009D39A0">
        <w:rPr>
          <w:rFonts w:ascii="Arial" w:hAnsi="Arial"/>
          <w:sz w:val="22"/>
        </w:rPr>
        <w:t>hereby disclaims any and all responsibility of liability</w:t>
      </w:r>
      <w:r>
        <w:rPr>
          <w:rFonts w:ascii="Arial" w:hAnsi="Arial"/>
          <w:sz w:val="22"/>
        </w:rPr>
        <w:t xml:space="preserve"> </w:t>
      </w:r>
      <w:r w:rsidRPr="009D39A0">
        <w:rPr>
          <w:rFonts w:ascii="Arial" w:hAnsi="Arial"/>
          <w:sz w:val="22"/>
        </w:rPr>
        <w:t>which may be asserted or claimed arising from reliance upon the procedures and information in</w:t>
      </w:r>
      <w:r>
        <w:rPr>
          <w:rFonts w:ascii="Arial" w:hAnsi="Arial"/>
          <w:sz w:val="22"/>
        </w:rPr>
        <w:t xml:space="preserve"> </w:t>
      </w:r>
      <w:r w:rsidRPr="009D39A0">
        <w:rPr>
          <w:rFonts w:ascii="Arial" w:hAnsi="Arial"/>
          <w:sz w:val="22"/>
        </w:rPr>
        <w:t xml:space="preserve">this </w:t>
      </w:r>
      <w:r>
        <w:rPr>
          <w:rFonts w:ascii="Arial" w:hAnsi="Arial"/>
          <w:sz w:val="22"/>
        </w:rPr>
        <w:t xml:space="preserve">Procedural </w:t>
      </w:r>
      <w:r w:rsidRPr="009D39A0">
        <w:rPr>
          <w:rFonts w:ascii="Arial" w:hAnsi="Arial"/>
          <w:sz w:val="22"/>
        </w:rPr>
        <w:t>Manual. Owners and managers are urged to consult with attorneys and/or accountants that</w:t>
      </w:r>
      <w:r>
        <w:rPr>
          <w:rFonts w:ascii="Arial" w:hAnsi="Arial"/>
          <w:sz w:val="22"/>
        </w:rPr>
        <w:t xml:space="preserve"> </w:t>
      </w:r>
      <w:r w:rsidR="005F135E">
        <w:rPr>
          <w:rFonts w:ascii="Arial" w:hAnsi="Arial"/>
          <w:sz w:val="22"/>
        </w:rPr>
        <w:t xml:space="preserve">specialize in the </w:t>
      </w:r>
      <w:r w:rsidRPr="009D39A0">
        <w:rPr>
          <w:rFonts w:ascii="Arial" w:hAnsi="Arial"/>
          <w:sz w:val="22"/>
        </w:rPr>
        <w:t>HTC Program in the administra</w:t>
      </w:r>
      <w:r w:rsidR="005F135E">
        <w:rPr>
          <w:rFonts w:ascii="Arial" w:hAnsi="Arial"/>
          <w:sz w:val="22"/>
        </w:rPr>
        <w:t xml:space="preserve">tion of their </w:t>
      </w:r>
      <w:r>
        <w:rPr>
          <w:rFonts w:ascii="Arial" w:hAnsi="Arial"/>
          <w:sz w:val="22"/>
        </w:rPr>
        <w:t>HTC projects</w:t>
      </w:r>
      <w:r w:rsidRPr="009D39A0">
        <w:rPr>
          <w:rFonts w:ascii="Arial" w:hAnsi="Arial"/>
          <w:sz w:val="22"/>
        </w:rPr>
        <w:t>.</w:t>
      </w:r>
      <w:r>
        <w:rPr>
          <w:rFonts w:ascii="Arial" w:hAnsi="Arial"/>
          <w:sz w:val="22"/>
        </w:rPr>
        <w:t xml:space="preserve"> </w:t>
      </w:r>
    </w:p>
    <w:p w:rsidR="005F6082" w:rsidRPr="00BD797D" w:rsidRDefault="005F6082" w:rsidP="005243D4">
      <w:pPr>
        <w:pStyle w:val="Heading1"/>
        <w:jc w:val="center"/>
        <w:rPr>
          <w:rFonts w:ascii="Arial" w:hAnsi="Arial"/>
          <w:sz w:val="22"/>
        </w:rPr>
      </w:pPr>
      <w:bookmarkStart w:id="2" w:name="_Toc511902981"/>
      <w:r w:rsidRPr="00BD797D">
        <w:rPr>
          <w:rFonts w:ascii="Arial" w:hAnsi="Arial"/>
          <w:sz w:val="22"/>
        </w:rPr>
        <w:t>II.</w:t>
      </w:r>
      <w:r w:rsidRPr="00BD797D">
        <w:rPr>
          <w:rFonts w:ascii="Arial" w:hAnsi="Arial"/>
          <w:sz w:val="22"/>
        </w:rPr>
        <w:tab/>
        <w:t>ROLE OF THE SUBALLOCATORS</w:t>
      </w:r>
      <w:r w:rsidRPr="00BD797D">
        <w:rPr>
          <w:rFonts w:ascii="Arial" w:hAnsi="Arial"/>
          <w:sz w:val="22"/>
        </w:rPr>
        <w:fldChar w:fldCharType="begin"/>
      </w:r>
      <w:r w:rsidRPr="00BD797D">
        <w:rPr>
          <w:rFonts w:ascii="Arial" w:hAnsi="Arial"/>
          <w:sz w:val="22"/>
        </w:rPr>
        <w:instrText>tc \l1 "II.</w:instrText>
      </w:r>
      <w:r w:rsidRPr="00BD797D">
        <w:rPr>
          <w:rFonts w:ascii="Arial" w:hAnsi="Arial"/>
          <w:sz w:val="22"/>
        </w:rPr>
        <w:tab/>
        <w:instrText>ROLE OF THE SUBALLOCATORS</w:instrText>
      </w:r>
      <w:r w:rsidRPr="00BD797D">
        <w:rPr>
          <w:rFonts w:ascii="Arial" w:hAnsi="Arial"/>
          <w:sz w:val="22"/>
        </w:rPr>
        <w:fldChar w:fldCharType="end"/>
      </w:r>
      <w:bookmarkEnd w:id="2"/>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D67710"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The Board, as a subal</w:t>
      </w:r>
      <w:r w:rsidR="00B74BF2">
        <w:rPr>
          <w:rFonts w:ascii="Arial" w:hAnsi="Arial"/>
          <w:sz w:val="22"/>
        </w:rPr>
        <w:t xml:space="preserve">locator of </w:t>
      </w:r>
      <w:r w:rsidR="00502389">
        <w:rPr>
          <w:rFonts w:ascii="Arial" w:hAnsi="Arial"/>
          <w:sz w:val="22"/>
        </w:rPr>
        <w:t xml:space="preserve">9% </w:t>
      </w:r>
      <w:r w:rsidR="0059479C">
        <w:rPr>
          <w:rFonts w:ascii="Arial" w:hAnsi="Arial"/>
          <w:sz w:val="22"/>
        </w:rPr>
        <w:t>HTCs</w:t>
      </w:r>
      <w:r>
        <w:rPr>
          <w:rFonts w:ascii="Arial" w:hAnsi="Arial"/>
          <w:sz w:val="22"/>
        </w:rPr>
        <w:t xml:space="preserve">, is authorized to </w:t>
      </w:r>
      <w:r w:rsidR="0059479C">
        <w:rPr>
          <w:rFonts w:ascii="Arial" w:hAnsi="Arial"/>
          <w:sz w:val="22"/>
        </w:rPr>
        <w:t xml:space="preserve">allocate </w:t>
      </w:r>
      <w:r w:rsidR="00502389">
        <w:rPr>
          <w:rFonts w:ascii="Arial" w:hAnsi="Arial"/>
          <w:sz w:val="22"/>
        </w:rPr>
        <w:t xml:space="preserve">9% </w:t>
      </w:r>
      <w:r w:rsidR="0059479C">
        <w:rPr>
          <w:rFonts w:ascii="Arial" w:hAnsi="Arial"/>
          <w:sz w:val="22"/>
        </w:rPr>
        <w:t>HTC</w:t>
      </w:r>
      <w:r w:rsidR="00B74BF2">
        <w:rPr>
          <w:rFonts w:ascii="Arial" w:hAnsi="Arial"/>
          <w:sz w:val="22"/>
        </w:rPr>
        <w:t xml:space="preserve"> to </w:t>
      </w:r>
      <w:r>
        <w:rPr>
          <w:rFonts w:ascii="Arial" w:hAnsi="Arial"/>
          <w:sz w:val="22"/>
        </w:rPr>
        <w:t>projects w</w:t>
      </w:r>
      <w:r w:rsidR="00B74BF2">
        <w:rPr>
          <w:rFonts w:ascii="Arial" w:hAnsi="Arial"/>
          <w:sz w:val="22"/>
        </w:rPr>
        <w:t>ithin the Board's jurisdiction</w:t>
      </w:r>
      <w:r w:rsidR="005F135E">
        <w:rPr>
          <w:rFonts w:ascii="Arial" w:hAnsi="Arial"/>
          <w:sz w:val="22"/>
        </w:rPr>
        <w:t xml:space="preserve"> pursuant to the QAP</w:t>
      </w:r>
      <w:r>
        <w:rPr>
          <w:rFonts w:ascii="Arial" w:hAnsi="Arial"/>
          <w:sz w:val="22"/>
        </w:rPr>
        <w:t>.  The Board will</w:t>
      </w:r>
      <w:r w:rsidR="0059479C">
        <w:rPr>
          <w:rFonts w:ascii="Arial" w:hAnsi="Arial"/>
          <w:sz w:val="22"/>
        </w:rPr>
        <w:t xml:space="preserve"> </w:t>
      </w:r>
      <w:r w:rsidR="005F135E">
        <w:rPr>
          <w:rFonts w:ascii="Arial" w:hAnsi="Arial"/>
          <w:sz w:val="22"/>
        </w:rPr>
        <w:t xml:space="preserve">also allocate the 4% </w:t>
      </w:r>
      <w:r w:rsidR="00985A3B">
        <w:rPr>
          <w:rFonts w:ascii="Arial" w:hAnsi="Arial"/>
          <w:sz w:val="22"/>
        </w:rPr>
        <w:t xml:space="preserve">HTC and will </w:t>
      </w:r>
      <w:r w:rsidR="0059479C">
        <w:rPr>
          <w:rFonts w:ascii="Arial" w:hAnsi="Arial"/>
          <w:sz w:val="22"/>
        </w:rPr>
        <w:t xml:space="preserve">be </w:t>
      </w:r>
      <w:r w:rsidR="00821EBD">
        <w:rPr>
          <w:rFonts w:ascii="Arial" w:hAnsi="Arial"/>
          <w:sz w:val="22"/>
        </w:rPr>
        <w:t xml:space="preserve">assisted </w:t>
      </w:r>
      <w:r w:rsidR="0059479C">
        <w:rPr>
          <w:rFonts w:ascii="Arial" w:hAnsi="Arial"/>
          <w:sz w:val="22"/>
        </w:rPr>
        <w:t xml:space="preserve">in </w:t>
      </w:r>
      <w:r w:rsidR="00D67710">
        <w:rPr>
          <w:rFonts w:ascii="Arial" w:hAnsi="Arial"/>
          <w:sz w:val="22"/>
        </w:rPr>
        <w:t>the allocation of</w:t>
      </w:r>
      <w:r w:rsidR="00985A3B">
        <w:rPr>
          <w:rFonts w:ascii="Arial" w:hAnsi="Arial"/>
          <w:sz w:val="22"/>
        </w:rPr>
        <w:t xml:space="preserve"> both</w:t>
      </w:r>
      <w:r w:rsidR="00D67710">
        <w:rPr>
          <w:rFonts w:ascii="Arial" w:hAnsi="Arial"/>
          <w:sz w:val="22"/>
        </w:rPr>
        <w:t xml:space="preserve"> the </w:t>
      </w:r>
      <w:r w:rsidR="00502389">
        <w:rPr>
          <w:rFonts w:ascii="Arial" w:hAnsi="Arial"/>
          <w:sz w:val="22"/>
        </w:rPr>
        <w:t xml:space="preserve">9% </w:t>
      </w:r>
      <w:r w:rsidR="0059479C">
        <w:rPr>
          <w:rFonts w:ascii="Arial" w:hAnsi="Arial"/>
          <w:sz w:val="22"/>
        </w:rPr>
        <w:t>HTC</w:t>
      </w:r>
      <w:r w:rsidR="00D67710">
        <w:rPr>
          <w:rFonts w:ascii="Arial" w:hAnsi="Arial"/>
          <w:sz w:val="22"/>
        </w:rPr>
        <w:t xml:space="preserve"> and </w:t>
      </w:r>
      <w:r w:rsidR="00985A3B">
        <w:rPr>
          <w:rFonts w:ascii="Arial" w:hAnsi="Arial"/>
          <w:sz w:val="22"/>
        </w:rPr>
        <w:t xml:space="preserve">the </w:t>
      </w:r>
      <w:r w:rsidR="005F135E">
        <w:rPr>
          <w:rFonts w:ascii="Arial" w:hAnsi="Arial"/>
          <w:sz w:val="22"/>
        </w:rPr>
        <w:t xml:space="preserve">4% </w:t>
      </w:r>
      <w:r w:rsidR="00D67710">
        <w:rPr>
          <w:rFonts w:ascii="Arial" w:hAnsi="Arial"/>
          <w:sz w:val="22"/>
        </w:rPr>
        <w:t>HTC</w:t>
      </w:r>
      <w:r>
        <w:rPr>
          <w:rFonts w:ascii="Arial" w:hAnsi="Arial"/>
          <w:sz w:val="22"/>
        </w:rPr>
        <w:t xml:space="preserve"> by the City of Minneapolis </w:t>
      </w:r>
      <w:r w:rsidR="008657A1">
        <w:rPr>
          <w:rFonts w:ascii="Arial" w:hAnsi="Arial"/>
          <w:sz w:val="22"/>
        </w:rPr>
        <w:t xml:space="preserve">Department of </w:t>
      </w:r>
      <w:r>
        <w:rPr>
          <w:rFonts w:ascii="Arial" w:hAnsi="Arial"/>
          <w:sz w:val="22"/>
        </w:rPr>
        <w:t xml:space="preserve">the </w:t>
      </w:r>
      <w:r w:rsidR="00350A65">
        <w:rPr>
          <w:rFonts w:ascii="Arial" w:hAnsi="Arial"/>
          <w:sz w:val="22"/>
        </w:rPr>
        <w:t>Community Planning &amp; Economic Development</w:t>
      </w:r>
      <w:r>
        <w:rPr>
          <w:rFonts w:ascii="Arial" w:hAnsi="Arial"/>
          <w:sz w:val="22"/>
        </w:rPr>
        <w:t xml:space="preserve"> (</w:t>
      </w:r>
      <w:r w:rsidR="00D24798">
        <w:rPr>
          <w:rFonts w:ascii="Arial" w:hAnsi="Arial"/>
          <w:sz w:val="22"/>
        </w:rPr>
        <w:t>“</w:t>
      </w:r>
      <w:r w:rsidR="00350A65">
        <w:rPr>
          <w:rFonts w:ascii="Arial" w:hAnsi="Arial"/>
          <w:sz w:val="22"/>
        </w:rPr>
        <w:t>CPED</w:t>
      </w:r>
      <w:r w:rsidR="00D24798">
        <w:rPr>
          <w:rFonts w:ascii="Arial" w:hAnsi="Arial"/>
          <w:sz w:val="22"/>
        </w:rPr>
        <w:t>”</w:t>
      </w:r>
      <w:r>
        <w:rPr>
          <w:rFonts w:ascii="Arial" w:hAnsi="Arial"/>
          <w:sz w:val="22"/>
        </w:rPr>
        <w:t xml:space="preserve">) for projects </w:t>
      </w:r>
      <w:r w:rsidR="0059479C">
        <w:rPr>
          <w:rFonts w:ascii="Arial" w:hAnsi="Arial"/>
          <w:sz w:val="22"/>
        </w:rPr>
        <w:t xml:space="preserve">located </w:t>
      </w:r>
      <w:r>
        <w:rPr>
          <w:rFonts w:ascii="Arial" w:hAnsi="Arial"/>
          <w:sz w:val="22"/>
        </w:rPr>
        <w:t xml:space="preserve">in Minneapolis and by </w:t>
      </w:r>
      <w:r w:rsidR="00757C4A">
        <w:rPr>
          <w:rFonts w:ascii="Arial" w:hAnsi="Arial"/>
          <w:sz w:val="22"/>
        </w:rPr>
        <w:t>t</w:t>
      </w:r>
      <w:r>
        <w:rPr>
          <w:rFonts w:ascii="Arial" w:hAnsi="Arial"/>
          <w:sz w:val="22"/>
        </w:rPr>
        <w:t>he Housing and Redevelopment Authority of the City</w:t>
      </w:r>
      <w:r w:rsidR="00D24798">
        <w:rPr>
          <w:rFonts w:ascii="Arial" w:hAnsi="Arial"/>
          <w:sz w:val="22"/>
        </w:rPr>
        <w:t xml:space="preserve"> of Saint Paul, Minnesota (“HRA”</w:t>
      </w:r>
      <w:r>
        <w:rPr>
          <w:rFonts w:ascii="Arial" w:hAnsi="Arial"/>
          <w:sz w:val="22"/>
        </w:rPr>
        <w:t xml:space="preserve">) for projects </w:t>
      </w:r>
      <w:r w:rsidR="0059479C">
        <w:rPr>
          <w:rFonts w:ascii="Arial" w:hAnsi="Arial"/>
          <w:sz w:val="22"/>
        </w:rPr>
        <w:t xml:space="preserve">located in Saint Paul.  </w:t>
      </w:r>
    </w:p>
    <w:p w:rsidR="00D67710" w:rsidRDefault="00D67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5F6082" w:rsidRPr="00502389" w:rsidRDefault="00223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In connection with a direct reques</w:t>
      </w:r>
      <w:r w:rsidR="008657A1">
        <w:rPr>
          <w:rFonts w:ascii="Arial" w:hAnsi="Arial"/>
          <w:sz w:val="22"/>
        </w:rPr>
        <w:t xml:space="preserve">t to the Minnesota Housing for </w:t>
      </w:r>
      <w:r>
        <w:rPr>
          <w:rFonts w:ascii="Arial" w:hAnsi="Arial"/>
          <w:sz w:val="22"/>
        </w:rPr>
        <w:t xml:space="preserve">HTCs, </w:t>
      </w:r>
      <w:r w:rsidR="008657A1">
        <w:rPr>
          <w:rFonts w:ascii="Arial" w:hAnsi="Arial"/>
          <w:sz w:val="22"/>
        </w:rPr>
        <w:t>Minnesota Housing</w:t>
      </w:r>
      <w:r w:rsidR="00393E53">
        <w:rPr>
          <w:rFonts w:ascii="Arial" w:hAnsi="Arial"/>
          <w:sz w:val="22"/>
        </w:rPr>
        <w:t xml:space="preserve"> may request </w:t>
      </w:r>
      <w:r>
        <w:rPr>
          <w:rFonts w:ascii="Arial" w:hAnsi="Arial"/>
          <w:sz w:val="22"/>
        </w:rPr>
        <w:t xml:space="preserve">comments </w:t>
      </w:r>
      <w:r w:rsidR="00393E53">
        <w:rPr>
          <w:rFonts w:ascii="Arial" w:hAnsi="Arial"/>
          <w:sz w:val="22"/>
        </w:rPr>
        <w:t xml:space="preserve">from the </w:t>
      </w:r>
      <w:r>
        <w:rPr>
          <w:rFonts w:ascii="Arial" w:hAnsi="Arial"/>
          <w:sz w:val="22"/>
        </w:rPr>
        <w:t xml:space="preserve">Board with respect to </w:t>
      </w:r>
      <w:r w:rsidR="005F6082" w:rsidRPr="00502389">
        <w:rPr>
          <w:rFonts w:ascii="Arial" w:hAnsi="Arial"/>
          <w:sz w:val="22"/>
        </w:rPr>
        <w:t>project</w:t>
      </w:r>
      <w:r>
        <w:rPr>
          <w:rFonts w:ascii="Arial" w:hAnsi="Arial"/>
          <w:sz w:val="22"/>
        </w:rPr>
        <w:t>s to b</w:t>
      </w:r>
      <w:r w:rsidR="008657A1">
        <w:rPr>
          <w:rFonts w:ascii="Arial" w:hAnsi="Arial"/>
          <w:sz w:val="22"/>
        </w:rPr>
        <w:t xml:space="preserve">e developed using </w:t>
      </w:r>
      <w:r w:rsidR="00393E53">
        <w:rPr>
          <w:rFonts w:ascii="Arial" w:hAnsi="Arial"/>
          <w:sz w:val="22"/>
        </w:rPr>
        <w:t>HTCs</w:t>
      </w:r>
      <w:r w:rsidR="005F6082" w:rsidRPr="00502389">
        <w:rPr>
          <w:rFonts w:ascii="Arial" w:hAnsi="Arial"/>
          <w:sz w:val="22"/>
        </w:rPr>
        <w:t xml:space="preserve"> that</w:t>
      </w:r>
      <w:r w:rsidR="00393E53">
        <w:rPr>
          <w:rFonts w:ascii="Arial" w:hAnsi="Arial"/>
          <w:sz w:val="22"/>
        </w:rPr>
        <w:t xml:space="preserve"> will be located in the Board’s </w:t>
      </w:r>
      <w:r w:rsidR="005F6082" w:rsidRPr="00502389">
        <w:rPr>
          <w:rFonts w:ascii="Arial" w:hAnsi="Arial"/>
          <w:sz w:val="22"/>
        </w:rPr>
        <w:t>jurisdiction</w:t>
      </w:r>
      <w:r w:rsidR="00393E53">
        <w:rPr>
          <w:rFonts w:ascii="Arial" w:hAnsi="Arial"/>
          <w:sz w:val="22"/>
        </w:rPr>
        <w:t>.</w:t>
      </w:r>
    </w:p>
    <w:p w:rsidR="005F6082" w:rsidRPr="00BD797D" w:rsidRDefault="005F6082" w:rsidP="005243D4">
      <w:pPr>
        <w:pStyle w:val="Heading1"/>
        <w:jc w:val="center"/>
        <w:rPr>
          <w:rFonts w:ascii="Arial" w:hAnsi="Arial"/>
          <w:sz w:val="22"/>
        </w:rPr>
      </w:pPr>
      <w:bookmarkStart w:id="3" w:name="_Toc511902982"/>
      <w:r w:rsidRPr="00BD797D">
        <w:rPr>
          <w:rFonts w:ascii="Arial" w:hAnsi="Arial"/>
          <w:sz w:val="22"/>
        </w:rPr>
        <w:t>III.</w:t>
      </w:r>
      <w:r w:rsidRPr="00BD797D">
        <w:rPr>
          <w:rFonts w:ascii="Arial" w:hAnsi="Arial"/>
          <w:sz w:val="22"/>
        </w:rPr>
        <w:tab/>
        <w:t>POLICIES AND PROCEDURES</w:t>
      </w:r>
      <w:r w:rsidRPr="00BD797D">
        <w:rPr>
          <w:rFonts w:ascii="Arial" w:hAnsi="Arial"/>
          <w:sz w:val="22"/>
        </w:rPr>
        <w:fldChar w:fldCharType="begin"/>
      </w:r>
      <w:r w:rsidRPr="00BD797D">
        <w:rPr>
          <w:rFonts w:ascii="Arial" w:hAnsi="Arial"/>
          <w:sz w:val="22"/>
        </w:rPr>
        <w:instrText>tc \l1 "III.</w:instrText>
      </w:r>
      <w:r w:rsidRPr="00BD797D">
        <w:rPr>
          <w:rFonts w:ascii="Arial" w:hAnsi="Arial"/>
          <w:sz w:val="22"/>
        </w:rPr>
        <w:tab/>
        <w:instrText>POLICIES AND PROCEDURES</w:instrText>
      </w:r>
      <w:r w:rsidRPr="00BD797D">
        <w:rPr>
          <w:rFonts w:ascii="Arial" w:hAnsi="Arial"/>
          <w:sz w:val="22"/>
        </w:rPr>
        <w:fldChar w:fldCharType="end"/>
      </w:r>
      <w:bookmarkEnd w:id="3"/>
    </w:p>
    <w:p w:rsidR="005F6082" w:rsidRPr="00E03091" w:rsidRDefault="005F6082" w:rsidP="003A14BA">
      <w:pPr>
        <w:pStyle w:val="Heading2"/>
        <w:ind w:left="720"/>
        <w:rPr>
          <w:rFonts w:ascii="Arial" w:hAnsi="Arial"/>
          <w:i w:val="0"/>
          <w:sz w:val="22"/>
        </w:rPr>
      </w:pPr>
      <w:bookmarkStart w:id="4" w:name="_Toc511902983"/>
      <w:r w:rsidRPr="00E03091">
        <w:rPr>
          <w:rFonts w:ascii="Arial" w:hAnsi="Arial"/>
          <w:i w:val="0"/>
          <w:sz w:val="22"/>
        </w:rPr>
        <w:t>A.</w:t>
      </w:r>
      <w:r w:rsidRPr="00E03091">
        <w:rPr>
          <w:rFonts w:ascii="Arial" w:hAnsi="Arial"/>
          <w:i w:val="0"/>
          <w:sz w:val="22"/>
        </w:rPr>
        <w:tab/>
        <w:t>Allocation Policies</w:t>
      </w:r>
      <w:r w:rsidRPr="00E03091">
        <w:rPr>
          <w:rFonts w:ascii="Arial" w:hAnsi="Arial"/>
          <w:i w:val="0"/>
          <w:sz w:val="22"/>
        </w:rPr>
        <w:fldChar w:fldCharType="begin"/>
      </w:r>
      <w:r w:rsidRPr="00E03091">
        <w:rPr>
          <w:rFonts w:ascii="Arial" w:hAnsi="Arial"/>
          <w:i w:val="0"/>
          <w:sz w:val="22"/>
        </w:rPr>
        <w:instrText>tc \l2 "A.</w:instrText>
      </w:r>
      <w:r w:rsidRPr="00E03091">
        <w:rPr>
          <w:rFonts w:ascii="Arial" w:hAnsi="Arial"/>
          <w:i w:val="0"/>
          <w:sz w:val="22"/>
        </w:rPr>
        <w:tab/>
        <w:instrText>Allocation Policies</w:instrText>
      </w:r>
      <w:r w:rsidRPr="00E03091">
        <w:rPr>
          <w:rFonts w:ascii="Arial" w:hAnsi="Arial"/>
          <w:i w:val="0"/>
          <w:sz w:val="22"/>
        </w:rPr>
        <w:fldChar w:fldCharType="end"/>
      </w:r>
      <w:bookmarkEnd w:id="4"/>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24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5F6082">
        <w:rPr>
          <w:rFonts w:ascii="Arial" w:hAnsi="Arial"/>
          <w:sz w:val="22"/>
        </w:rPr>
        <w:t>1</w:t>
      </w:r>
      <w:r>
        <w:rPr>
          <w:rFonts w:ascii="Arial" w:hAnsi="Arial"/>
          <w:sz w:val="22"/>
        </w:rPr>
        <w:t>)</w:t>
      </w:r>
      <w:r w:rsidR="005F6082">
        <w:rPr>
          <w:rFonts w:ascii="Arial" w:hAnsi="Arial"/>
          <w:sz w:val="22"/>
        </w:rPr>
        <w:tab/>
        <w:t>The Board shall act as the designated housing credit agency on behalf of the Cities of Minneapolis and Saint Paul.</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243D4" w:rsidP="00F9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D24798">
        <w:rPr>
          <w:rFonts w:ascii="Arial" w:hAnsi="Arial"/>
          <w:sz w:val="22"/>
        </w:rPr>
        <w:t>2</w:t>
      </w:r>
      <w:r>
        <w:rPr>
          <w:rFonts w:ascii="Arial" w:hAnsi="Arial"/>
          <w:sz w:val="22"/>
        </w:rPr>
        <w:t>)</w:t>
      </w:r>
      <w:r w:rsidR="00D24798">
        <w:rPr>
          <w:rFonts w:ascii="Arial" w:hAnsi="Arial"/>
          <w:sz w:val="22"/>
        </w:rPr>
        <w:tab/>
        <w:t xml:space="preserve">The Board's </w:t>
      </w:r>
      <w:r w:rsidR="00CF1279">
        <w:rPr>
          <w:rFonts w:ascii="Arial" w:hAnsi="Arial"/>
          <w:sz w:val="22"/>
        </w:rPr>
        <w:t xml:space="preserve">9% </w:t>
      </w:r>
      <w:r w:rsidR="0059479C">
        <w:rPr>
          <w:rFonts w:ascii="Arial" w:hAnsi="Arial"/>
          <w:sz w:val="22"/>
        </w:rPr>
        <w:t xml:space="preserve">HTC </w:t>
      </w:r>
      <w:r w:rsidR="00821EBD">
        <w:rPr>
          <w:rFonts w:ascii="Arial" w:hAnsi="Arial"/>
          <w:sz w:val="22"/>
        </w:rPr>
        <w:t xml:space="preserve">allocation </w:t>
      </w:r>
      <w:r w:rsidR="005F6082">
        <w:rPr>
          <w:rFonts w:ascii="Arial" w:hAnsi="Arial"/>
          <w:sz w:val="22"/>
        </w:rPr>
        <w:t>will be divided between the Cities</w:t>
      </w:r>
      <w:r w:rsidR="003F1FA3">
        <w:rPr>
          <w:rFonts w:ascii="Arial" w:hAnsi="Arial"/>
          <w:sz w:val="22"/>
        </w:rPr>
        <w:t xml:space="preserve"> of Minn</w:t>
      </w:r>
      <w:r w:rsidR="00821EBD">
        <w:rPr>
          <w:rFonts w:ascii="Arial" w:hAnsi="Arial"/>
          <w:sz w:val="22"/>
        </w:rPr>
        <w:t xml:space="preserve">eapolis and Saint Paul </w:t>
      </w:r>
      <w:r w:rsidR="005F6082">
        <w:rPr>
          <w:rFonts w:ascii="Arial" w:hAnsi="Arial"/>
          <w:sz w:val="22"/>
        </w:rPr>
        <w:t>as follows:</w:t>
      </w:r>
    </w:p>
    <w:p w:rsidR="005F6082" w:rsidRDefault="005F6082" w:rsidP="00F9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821EB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(a)</w:t>
      </w:r>
      <w:r>
        <w:rPr>
          <w:rFonts w:ascii="Arial" w:hAnsi="Arial"/>
          <w:sz w:val="22"/>
        </w:rPr>
        <w:tab/>
      </w:r>
      <w:r w:rsidR="005F6082">
        <w:rPr>
          <w:rFonts w:ascii="Arial" w:hAnsi="Arial"/>
          <w:sz w:val="22"/>
        </w:rPr>
        <w:t xml:space="preserve">HRA and </w:t>
      </w:r>
      <w:r w:rsidR="00350A65">
        <w:rPr>
          <w:rFonts w:ascii="Arial" w:hAnsi="Arial"/>
          <w:sz w:val="22"/>
        </w:rPr>
        <w:t>CPED</w:t>
      </w:r>
      <w:r w:rsidR="005F6082">
        <w:rPr>
          <w:rFonts w:ascii="Arial" w:hAnsi="Arial"/>
          <w:sz w:val="22"/>
        </w:rPr>
        <w:t xml:space="preserve"> shall each administer, reserve and allocate th</w:t>
      </w:r>
      <w:r>
        <w:rPr>
          <w:rFonts w:ascii="Arial" w:hAnsi="Arial"/>
          <w:sz w:val="22"/>
        </w:rPr>
        <w:t xml:space="preserve">at portion of the Board's </w:t>
      </w:r>
      <w:r w:rsidR="00CF1279">
        <w:rPr>
          <w:rFonts w:ascii="Arial" w:hAnsi="Arial"/>
          <w:sz w:val="22"/>
        </w:rPr>
        <w:t xml:space="preserve">9% </w:t>
      </w:r>
      <w:r w:rsidR="0059479C">
        <w:rPr>
          <w:rFonts w:ascii="Arial" w:hAnsi="Arial"/>
          <w:sz w:val="22"/>
        </w:rPr>
        <w:t xml:space="preserve">HTC </w:t>
      </w:r>
      <w:r>
        <w:rPr>
          <w:rFonts w:ascii="Arial" w:hAnsi="Arial"/>
          <w:sz w:val="22"/>
        </w:rPr>
        <w:t xml:space="preserve">allocation </w:t>
      </w:r>
      <w:r w:rsidR="005F6082">
        <w:rPr>
          <w:rFonts w:ascii="Arial" w:hAnsi="Arial"/>
          <w:sz w:val="22"/>
        </w:rPr>
        <w:t xml:space="preserve">equal to the Cities' </w:t>
      </w:r>
      <w:r w:rsidR="00CF1279">
        <w:rPr>
          <w:rFonts w:ascii="Arial" w:hAnsi="Arial"/>
          <w:sz w:val="22"/>
        </w:rPr>
        <w:t xml:space="preserve">9% </w:t>
      </w:r>
      <w:r w:rsidR="00BD7596">
        <w:rPr>
          <w:rFonts w:ascii="Arial" w:hAnsi="Arial"/>
          <w:sz w:val="22"/>
        </w:rPr>
        <w:t>HTC</w:t>
      </w:r>
      <w:r w:rsidR="005F6082">
        <w:rPr>
          <w:rFonts w:ascii="Arial" w:hAnsi="Arial"/>
          <w:sz w:val="22"/>
        </w:rPr>
        <w:t xml:space="preserve"> </w:t>
      </w:r>
      <w:r w:rsidR="00F0432D">
        <w:rPr>
          <w:rFonts w:ascii="Arial" w:hAnsi="Arial"/>
          <w:sz w:val="22"/>
        </w:rPr>
        <w:t>apportionments</w:t>
      </w:r>
      <w:r w:rsidR="005F6082">
        <w:rPr>
          <w:rFonts w:ascii="Arial" w:hAnsi="Arial"/>
          <w:sz w:val="22"/>
        </w:rPr>
        <w:t xml:space="preserve"> pursuant to the formula esta</w:t>
      </w:r>
      <w:r>
        <w:rPr>
          <w:rFonts w:ascii="Arial" w:hAnsi="Arial"/>
          <w:sz w:val="22"/>
        </w:rPr>
        <w:t>blished</w:t>
      </w:r>
      <w:r w:rsidR="00393E53">
        <w:rPr>
          <w:rFonts w:ascii="Arial" w:hAnsi="Arial"/>
          <w:sz w:val="22"/>
        </w:rPr>
        <w:t xml:space="preserve"> pursuant to t</w:t>
      </w:r>
      <w:r>
        <w:rPr>
          <w:rFonts w:ascii="Arial" w:hAnsi="Arial"/>
          <w:sz w:val="22"/>
        </w:rPr>
        <w:t>he Act</w:t>
      </w:r>
      <w:r w:rsidR="005F6082">
        <w:rPr>
          <w:rFonts w:ascii="Arial" w:hAnsi="Arial"/>
          <w:sz w:val="22"/>
        </w:rPr>
        <w:t>.</w:t>
      </w:r>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Pr>
          <w:rFonts w:ascii="Arial" w:hAnsi="Arial"/>
          <w:sz w:val="22"/>
        </w:rPr>
        <w:tab/>
        <w:t>Should a City not be able t</w:t>
      </w:r>
      <w:r w:rsidR="0059479C">
        <w:rPr>
          <w:rFonts w:ascii="Arial" w:hAnsi="Arial"/>
          <w:sz w:val="22"/>
        </w:rPr>
        <w:t xml:space="preserve">o use its portion of the </w:t>
      </w:r>
      <w:r w:rsidR="00D24798">
        <w:rPr>
          <w:rFonts w:ascii="Arial" w:hAnsi="Arial"/>
          <w:sz w:val="22"/>
        </w:rPr>
        <w:t xml:space="preserve">9% </w:t>
      </w:r>
      <w:r w:rsidR="0059479C">
        <w:rPr>
          <w:rFonts w:ascii="Arial" w:hAnsi="Arial"/>
          <w:sz w:val="22"/>
        </w:rPr>
        <w:t xml:space="preserve">HTC </w:t>
      </w:r>
      <w:r w:rsidR="00821EBD">
        <w:rPr>
          <w:rFonts w:ascii="Arial" w:hAnsi="Arial"/>
          <w:sz w:val="22"/>
        </w:rPr>
        <w:t xml:space="preserve">apportionment, it may transfer its apportionment to </w:t>
      </w:r>
      <w:r>
        <w:rPr>
          <w:rFonts w:ascii="Arial" w:hAnsi="Arial"/>
          <w:sz w:val="22"/>
        </w:rPr>
        <w:t>the other City.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393E53">
        <w:rPr>
          <w:rFonts w:ascii="Arial" w:hAnsi="Arial"/>
          <w:sz w:val="22"/>
        </w:rPr>
        <w:t>The City of Minneapolis</w:t>
      </w:r>
      <w:r>
        <w:rPr>
          <w:rFonts w:ascii="Arial" w:hAnsi="Arial"/>
          <w:sz w:val="22"/>
        </w:rPr>
        <w:t xml:space="preserve"> or HRA</w:t>
      </w:r>
      <w:r w:rsidR="00393E53">
        <w:rPr>
          <w:rFonts w:ascii="Arial" w:hAnsi="Arial"/>
          <w:sz w:val="22"/>
        </w:rPr>
        <w:t>,</w:t>
      </w:r>
      <w:r>
        <w:rPr>
          <w:rFonts w:ascii="Arial" w:hAnsi="Arial"/>
          <w:sz w:val="22"/>
        </w:rPr>
        <w:t xml:space="preserve"> </w:t>
      </w:r>
      <w:r w:rsidR="00393E53">
        <w:rPr>
          <w:rFonts w:ascii="Arial" w:hAnsi="Arial"/>
          <w:sz w:val="22"/>
        </w:rPr>
        <w:t xml:space="preserve">on behalf of </w:t>
      </w:r>
      <w:r w:rsidR="006B7C0C">
        <w:rPr>
          <w:rFonts w:ascii="Arial" w:hAnsi="Arial"/>
          <w:sz w:val="22"/>
        </w:rPr>
        <w:t>Saint</w:t>
      </w:r>
      <w:r w:rsidR="00393E53">
        <w:rPr>
          <w:rFonts w:ascii="Arial" w:hAnsi="Arial"/>
          <w:sz w:val="22"/>
        </w:rPr>
        <w:t xml:space="preserve"> Paul, </w:t>
      </w:r>
      <w:r>
        <w:rPr>
          <w:rFonts w:ascii="Arial" w:hAnsi="Arial"/>
          <w:sz w:val="22"/>
        </w:rPr>
        <w:t>as applicable</w:t>
      </w:r>
      <w:r w:rsidR="00393E53">
        <w:rPr>
          <w:rFonts w:ascii="Arial" w:hAnsi="Arial"/>
          <w:sz w:val="22"/>
        </w:rPr>
        <w:t>,</w:t>
      </w:r>
      <w:r>
        <w:rPr>
          <w:rFonts w:ascii="Arial" w:hAnsi="Arial"/>
          <w:sz w:val="22"/>
        </w:rPr>
        <w:t xml:space="preserve"> must approve a resolution v</w:t>
      </w:r>
      <w:r w:rsidR="0059479C">
        <w:rPr>
          <w:rFonts w:ascii="Arial" w:hAnsi="Arial"/>
          <w:sz w:val="22"/>
        </w:rPr>
        <w:t xml:space="preserve">alidating the </w:t>
      </w:r>
      <w:r w:rsidR="00845504">
        <w:rPr>
          <w:rFonts w:ascii="Arial" w:hAnsi="Arial"/>
          <w:sz w:val="22"/>
        </w:rPr>
        <w:t>transfer</w:t>
      </w:r>
      <w:r w:rsidR="0059479C">
        <w:rPr>
          <w:rFonts w:ascii="Arial" w:hAnsi="Arial"/>
          <w:sz w:val="22"/>
        </w:rPr>
        <w:t xml:space="preserve"> of </w:t>
      </w:r>
      <w:r w:rsidR="00D24798">
        <w:rPr>
          <w:rFonts w:ascii="Arial" w:hAnsi="Arial"/>
          <w:sz w:val="22"/>
        </w:rPr>
        <w:t xml:space="preserve">9% </w:t>
      </w:r>
      <w:r w:rsidR="0059479C">
        <w:rPr>
          <w:rFonts w:ascii="Arial" w:hAnsi="Arial"/>
          <w:sz w:val="22"/>
        </w:rPr>
        <w:t>HTC</w:t>
      </w:r>
      <w:r w:rsidR="00845504">
        <w:rPr>
          <w:rFonts w:ascii="Arial" w:hAnsi="Arial"/>
          <w:sz w:val="22"/>
        </w:rPr>
        <w:t xml:space="preserve"> to </w:t>
      </w:r>
      <w:r w:rsidR="00F90090">
        <w:rPr>
          <w:rFonts w:ascii="Arial" w:hAnsi="Arial"/>
          <w:sz w:val="22"/>
        </w:rPr>
        <w:t>the other City.</w:t>
      </w:r>
    </w:p>
    <w:p w:rsidR="005F6082" w:rsidRDefault="005F608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864CE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Upon approval by the City Council of the City </w:t>
      </w:r>
      <w:r w:rsidRPr="00F60AE5">
        <w:rPr>
          <w:rFonts w:ascii="Arial" w:hAnsi="Arial"/>
          <w:sz w:val="22"/>
        </w:rPr>
        <w:t xml:space="preserve">of Minneapolis (the "Minneapolis Council") or HRA as provided in the immediately preceding paragraph, the Board </w:t>
      </w:r>
      <w:r w:rsidR="00F60AE5">
        <w:rPr>
          <w:rFonts w:ascii="Arial" w:hAnsi="Arial"/>
          <w:sz w:val="22"/>
        </w:rPr>
        <w:t>will consider the authorization of</w:t>
      </w:r>
      <w:r>
        <w:rPr>
          <w:rFonts w:ascii="Arial" w:hAnsi="Arial"/>
          <w:sz w:val="22"/>
        </w:rPr>
        <w:t xml:space="preserve"> the </w:t>
      </w:r>
      <w:r w:rsidR="00845504">
        <w:rPr>
          <w:rFonts w:ascii="Arial" w:hAnsi="Arial"/>
          <w:sz w:val="22"/>
        </w:rPr>
        <w:t>transfer</w:t>
      </w:r>
      <w:r>
        <w:rPr>
          <w:rFonts w:ascii="Arial" w:hAnsi="Arial"/>
          <w:sz w:val="22"/>
        </w:rPr>
        <w:t xml:space="preserve"> </w:t>
      </w:r>
      <w:r w:rsidR="008657A1">
        <w:rPr>
          <w:rFonts w:ascii="Arial" w:hAnsi="Arial"/>
          <w:sz w:val="22"/>
        </w:rPr>
        <w:t xml:space="preserve">of </w:t>
      </w:r>
      <w:r w:rsidR="00F60AE5">
        <w:rPr>
          <w:rFonts w:ascii="Arial" w:hAnsi="Arial"/>
          <w:sz w:val="22"/>
        </w:rPr>
        <w:t xml:space="preserve">HTCs </w:t>
      </w:r>
      <w:r>
        <w:rPr>
          <w:rFonts w:ascii="Arial" w:hAnsi="Arial"/>
          <w:sz w:val="22"/>
        </w:rPr>
        <w:t>between the Cities and shall maintain a record thereof.</w:t>
      </w:r>
    </w:p>
    <w:p w:rsidR="008657A1" w:rsidRDefault="008657A1" w:rsidP="008657A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sz w:val="22"/>
        </w:rPr>
      </w:pPr>
    </w:p>
    <w:p w:rsidR="008657A1" w:rsidRDefault="00F90090" w:rsidP="00F9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304"/>
        <w:jc w:val="both"/>
        <w:rPr>
          <w:rFonts w:ascii="Arial" w:hAnsi="Arial"/>
          <w:sz w:val="22"/>
        </w:rPr>
      </w:pPr>
      <w:r>
        <w:rPr>
          <w:rFonts w:ascii="Arial" w:hAnsi="Arial"/>
          <w:sz w:val="22"/>
        </w:rPr>
        <w:tab/>
      </w:r>
      <w:r>
        <w:rPr>
          <w:rFonts w:ascii="Arial" w:hAnsi="Arial"/>
          <w:sz w:val="22"/>
        </w:rPr>
        <w:tab/>
      </w:r>
      <w:r>
        <w:rPr>
          <w:rFonts w:ascii="Arial" w:hAnsi="Arial"/>
          <w:sz w:val="22"/>
        </w:rPr>
        <w:tab/>
        <w:t>(e)</w:t>
      </w:r>
      <w:r>
        <w:rPr>
          <w:rFonts w:ascii="Arial" w:hAnsi="Arial"/>
          <w:sz w:val="22"/>
        </w:rPr>
        <w:tab/>
      </w:r>
      <w:r w:rsidR="008657A1">
        <w:rPr>
          <w:rFonts w:ascii="Arial" w:hAnsi="Arial"/>
          <w:sz w:val="22"/>
        </w:rPr>
        <w:t xml:space="preserve">Any 9% </w:t>
      </w:r>
      <w:r w:rsidR="008657A1" w:rsidRPr="008657A1">
        <w:rPr>
          <w:rFonts w:ascii="Arial" w:hAnsi="Arial"/>
          <w:sz w:val="22"/>
        </w:rPr>
        <w:t xml:space="preserve">HTCs which are not allocated by the Board during a </w:t>
      </w:r>
      <w:r w:rsidR="008657A1" w:rsidRPr="008657A1">
        <w:rPr>
          <w:rFonts w:ascii="Arial" w:hAnsi="Arial"/>
          <w:sz w:val="22"/>
        </w:rPr>
        <w:lastRenderedPageBreak/>
        <w:t xml:space="preserve">particular year funding round will be returned to </w:t>
      </w:r>
      <w:r w:rsidR="008657A1">
        <w:rPr>
          <w:rFonts w:ascii="Arial" w:hAnsi="Arial"/>
          <w:sz w:val="22"/>
        </w:rPr>
        <w:t xml:space="preserve">Minnesota Housing </w:t>
      </w:r>
      <w:r w:rsidR="008657A1" w:rsidRPr="008657A1">
        <w:rPr>
          <w:rFonts w:ascii="Arial" w:hAnsi="Arial"/>
          <w:sz w:val="22"/>
        </w:rPr>
        <w:t>for subsequent allocation.  Subsequent to a particular year funding round conducted by the Board, applicants of projects to be developed within the Board's jurisdiction may apply directly to the M</w:t>
      </w:r>
      <w:r>
        <w:rPr>
          <w:rFonts w:ascii="Arial" w:hAnsi="Arial"/>
          <w:sz w:val="22"/>
        </w:rPr>
        <w:t>innesota Housing</w:t>
      </w:r>
      <w:r w:rsidR="008657A1" w:rsidRPr="008657A1">
        <w:rPr>
          <w:rFonts w:ascii="Arial" w:hAnsi="Arial"/>
          <w:sz w:val="22"/>
        </w:rPr>
        <w:t xml:space="preserve"> for 9%</w:t>
      </w:r>
      <w:r w:rsidR="008657A1">
        <w:rPr>
          <w:rFonts w:ascii="Arial" w:hAnsi="Arial"/>
          <w:sz w:val="22"/>
        </w:rPr>
        <w:t xml:space="preserve"> </w:t>
      </w:r>
      <w:r w:rsidR="008657A1" w:rsidRPr="008657A1">
        <w:rPr>
          <w:rFonts w:ascii="Arial" w:hAnsi="Arial"/>
          <w:sz w:val="22"/>
        </w:rPr>
        <w:t>HTCs</w:t>
      </w:r>
      <w:r>
        <w:rPr>
          <w:rFonts w:ascii="Arial" w:hAnsi="Arial"/>
          <w:sz w:val="22"/>
        </w:rPr>
        <w:t>.</w:t>
      </w:r>
    </w:p>
    <w:p w:rsidR="005F6082" w:rsidRPr="00E03091" w:rsidRDefault="005F6082" w:rsidP="008D31A1">
      <w:pPr>
        <w:pStyle w:val="Heading2"/>
        <w:spacing w:after="0"/>
        <w:ind w:left="720"/>
        <w:rPr>
          <w:rFonts w:ascii="Arial" w:hAnsi="Arial"/>
          <w:i w:val="0"/>
          <w:sz w:val="22"/>
        </w:rPr>
      </w:pPr>
      <w:bookmarkStart w:id="5" w:name="_Toc511902984"/>
      <w:r w:rsidRPr="00E03091">
        <w:rPr>
          <w:rFonts w:ascii="Arial" w:hAnsi="Arial"/>
          <w:i w:val="0"/>
          <w:sz w:val="22"/>
        </w:rPr>
        <w:t>B.</w:t>
      </w:r>
      <w:r w:rsidRPr="00E03091">
        <w:rPr>
          <w:rFonts w:ascii="Arial" w:hAnsi="Arial"/>
          <w:i w:val="0"/>
          <w:sz w:val="22"/>
        </w:rPr>
        <w:tab/>
        <w:t>Application Cycle</w:t>
      </w:r>
      <w:r w:rsidRPr="00E03091">
        <w:rPr>
          <w:rFonts w:ascii="Arial" w:hAnsi="Arial"/>
          <w:i w:val="0"/>
          <w:sz w:val="22"/>
        </w:rPr>
        <w:fldChar w:fldCharType="begin"/>
      </w:r>
      <w:r w:rsidRPr="00E03091">
        <w:rPr>
          <w:rFonts w:ascii="Arial" w:hAnsi="Arial"/>
          <w:i w:val="0"/>
          <w:sz w:val="22"/>
        </w:rPr>
        <w:instrText>tc \l2 "B.</w:instrText>
      </w:r>
      <w:r w:rsidRPr="00E03091">
        <w:rPr>
          <w:rFonts w:ascii="Arial" w:hAnsi="Arial"/>
          <w:i w:val="0"/>
          <w:sz w:val="22"/>
        </w:rPr>
        <w:tab/>
        <w:instrText>Application Cycle</w:instrText>
      </w:r>
      <w:r w:rsidRPr="00E03091">
        <w:rPr>
          <w:rFonts w:ascii="Arial" w:hAnsi="Arial"/>
          <w:i w:val="0"/>
          <w:sz w:val="22"/>
        </w:rPr>
        <w:fldChar w:fldCharType="end"/>
      </w:r>
      <w:bookmarkEnd w:id="5"/>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744318" w:rsidRDefault="00CD2D9A" w:rsidP="00FE6445">
      <w:pPr>
        <w:widowControl/>
        <w:autoSpaceDE w:val="0"/>
        <w:autoSpaceDN w:val="0"/>
        <w:adjustRightInd w:val="0"/>
        <w:ind w:left="1440"/>
        <w:jc w:val="both"/>
        <w:rPr>
          <w:rFonts w:ascii="Arial" w:hAnsi="Arial"/>
          <w:strike/>
          <w:sz w:val="22"/>
        </w:rPr>
      </w:pPr>
      <w:r>
        <w:rPr>
          <w:rFonts w:ascii="Arial" w:hAnsi="Arial"/>
          <w:sz w:val="22"/>
        </w:rPr>
        <w:t xml:space="preserve">Applications for 9% </w:t>
      </w:r>
      <w:r w:rsidR="00FE6445">
        <w:rPr>
          <w:rFonts w:ascii="Arial" w:hAnsi="Arial"/>
          <w:sz w:val="22"/>
        </w:rPr>
        <w:t xml:space="preserve">HTCs </w:t>
      </w:r>
      <w:r>
        <w:rPr>
          <w:rFonts w:ascii="Arial" w:hAnsi="Arial"/>
          <w:sz w:val="22"/>
        </w:rPr>
        <w:t>must be submitted no later than</w:t>
      </w:r>
      <w:r w:rsidR="00EE2A3B">
        <w:rPr>
          <w:rFonts w:ascii="Arial" w:hAnsi="Arial"/>
          <w:sz w:val="22"/>
        </w:rPr>
        <w:t xml:space="preserve"> August 23, 2018</w:t>
      </w:r>
      <w:r w:rsidR="00FE6445">
        <w:rPr>
          <w:rFonts w:ascii="Arial" w:hAnsi="Arial"/>
          <w:sz w:val="22"/>
        </w:rPr>
        <w:t xml:space="preserve"> </w:t>
      </w:r>
      <w:r>
        <w:rPr>
          <w:rFonts w:ascii="Arial" w:hAnsi="Arial"/>
          <w:sz w:val="22"/>
        </w:rPr>
        <w:t>in accordance with this Procedural Manual and the QAP</w:t>
      </w:r>
      <w:r w:rsidR="00211A67">
        <w:rPr>
          <w:rFonts w:ascii="Arial" w:hAnsi="Arial"/>
          <w:sz w:val="22"/>
        </w:rPr>
        <w:t>.</w:t>
      </w:r>
    </w:p>
    <w:p w:rsidR="00FE6445" w:rsidRDefault="00FE6445" w:rsidP="00FE6445">
      <w:pPr>
        <w:widowControl/>
        <w:autoSpaceDE w:val="0"/>
        <w:autoSpaceDN w:val="0"/>
        <w:adjustRightInd w:val="0"/>
        <w:ind w:left="1440"/>
        <w:jc w:val="both"/>
        <w:rPr>
          <w:rFonts w:ascii="Arial" w:hAnsi="Arial"/>
          <w:sz w:val="22"/>
        </w:rPr>
      </w:pPr>
    </w:p>
    <w:p w:rsidR="00BA0379" w:rsidRDefault="00BA0379"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Applications </w:t>
      </w:r>
      <w:r w:rsidR="00744318">
        <w:rPr>
          <w:rFonts w:ascii="Arial" w:hAnsi="Arial"/>
          <w:sz w:val="22"/>
        </w:rPr>
        <w:t xml:space="preserve">for </w:t>
      </w:r>
      <w:r w:rsidR="0059479C">
        <w:rPr>
          <w:rFonts w:ascii="Arial" w:hAnsi="Arial"/>
          <w:sz w:val="22"/>
        </w:rPr>
        <w:t xml:space="preserve">the </w:t>
      </w:r>
      <w:r w:rsidR="007B74E9">
        <w:rPr>
          <w:rFonts w:ascii="Arial" w:hAnsi="Arial"/>
          <w:sz w:val="22"/>
        </w:rPr>
        <w:t xml:space="preserve">9% </w:t>
      </w:r>
      <w:r w:rsidR="0059479C">
        <w:rPr>
          <w:rFonts w:ascii="Arial" w:hAnsi="Arial"/>
          <w:sz w:val="22"/>
        </w:rPr>
        <w:t>HTC</w:t>
      </w:r>
      <w:r w:rsidR="005F6082">
        <w:rPr>
          <w:rFonts w:ascii="Arial" w:hAnsi="Arial"/>
          <w:sz w:val="22"/>
        </w:rPr>
        <w:t xml:space="preserve"> </w:t>
      </w:r>
      <w:r w:rsidR="00CD2D9A" w:rsidRPr="00CD2D9A">
        <w:rPr>
          <w:rFonts w:ascii="Arial" w:hAnsi="Arial"/>
          <w:sz w:val="22"/>
        </w:rPr>
        <w:t>or 4% HTC</w:t>
      </w:r>
      <w:r>
        <w:rPr>
          <w:rFonts w:ascii="Arial" w:hAnsi="Arial"/>
          <w:sz w:val="22"/>
        </w:rPr>
        <w:t xml:space="preserve"> </w:t>
      </w:r>
      <w:r w:rsidR="005F6082">
        <w:rPr>
          <w:rFonts w:ascii="Arial" w:hAnsi="Arial"/>
          <w:sz w:val="22"/>
        </w:rPr>
        <w:t xml:space="preserve">must </w:t>
      </w:r>
      <w:r>
        <w:rPr>
          <w:rFonts w:ascii="Arial" w:hAnsi="Arial"/>
          <w:sz w:val="22"/>
        </w:rPr>
        <w:t xml:space="preserve">be </w:t>
      </w:r>
      <w:r w:rsidR="005F6082">
        <w:rPr>
          <w:rFonts w:ascii="Arial" w:hAnsi="Arial"/>
          <w:sz w:val="22"/>
        </w:rPr>
        <w:t>submit</w:t>
      </w:r>
      <w:r>
        <w:rPr>
          <w:rFonts w:ascii="Arial" w:hAnsi="Arial"/>
          <w:sz w:val="22"/>
        </w:rPr>
        <w:t>ted</w:t>
      </w:r>
      <w:r w:rsidR="005F6082">
        <w:rPr>
          <w:rFonts w:ascii="Arial" w:hAnsi="Arial"/>
          <w:sz w:val="22"/>
        </w:rPr>
        <w:t xml:space="preserve"> to </w:t>
      </w:r>
      <w:r>
        <w:rPr>
          <w:rFonts w:ascii="Arial" w:hAnsi="Arial"/>
          <w:sz w:val="22"/>
        </w:rPr>
        <w:t>CPED or HRA, as applicable, by the date(s) set forth herein and meet the following conditions:</w:t>
      </w:r>
    </w:p>
    <w:p w:rsidR="0096684B" w:rsidRDefault="0096684B" w:rsidP="0096684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p>
    <w:p w:rsidR="00BA0379" w:rsidRDefault="00BA0379" w:rsidP="0096684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w:t>
      </w:r>
      <w:r w:rsidR="005243D4">
        <w:rPr>
          <w:rFonts w:ascii="Arial" w:hAnsi="Arial"/>
          <w:sz w:val="22"/>
        </w:rPr>
        <w:t>1</w:t>
      </w:r>
      <w:r>
        <w:rPr>
          <w:rFonts w:ascii="Arial" w:hAnsi="Arial"/>
          <w:sz w:val="22"/>
        </w:rPr>
        <w:t>)</w:t>
      </w:r>
      <w:r w:rsidR="0096684B">
        <w:rPr>
          <w:rFonts w:ascii="Arial" w:hAnsi="Arial"/>
          <w:sz w:val="22"/>
        </w:rPr>
        <w:t xml:space="preserve"> </w:t>
      </w:r>
      <w:r w:rsidR="00CD2D9A">
        <w:rPr>
          <w:rFonts w:ascii="Arial" w:hAnsi="Arial"/>
          <w:sz w:val="22"/>
        </w:rPr>
        <w:t>Three (3)</w:t>
      </w:r>
      <w:r w:rsidR="007B74E9">
        <w:rPr>
          <w:rFonts w:ascii="Arial" w:hAnsi="Arial"/>
          <w:sz w:val="22"/>
        </w:rPr>
        <w:t xml:space="preserve"> </w:t>
      </w:r>
      <w:r w:rsidR="005F6082">
        <w:rPr>
          <w:rFonts w:ascii="Arial" w:hAnsi="Arial"/>
          <w:sz w:val="22"/>
        </w:rPr>
        <w:t xml:space="preserve">copies </w:t>
      </w:r>
      <w:r w:rsidR="00CD2D9A">
        <w:rPr>
          <w:rFonts w:ascii="Arial" w:hAnsi="Arial"/>
          <w:sz w:val="22"/>
        </w:rPr>
        <w:t xml:space="preserve">and one (1) electronic copy (CD-rom or flash drive) </w:t>
      </w:r>
      <w:r w:rsidR="005F6082">
        <w:rPr>
          <w:rFonts w:ascii="Arial" w:hAnsi="Arial"/>
          <w:sz w:val="22"/>
        </w:rPr>
        <w:t xml:space="preserve">of the </w:t>
      </w:r>
      <w:r w:rsidR="0096684B">
        <w:rPr>
          <w:rFonts w:ascii="Arial" w:hAnsi="Arial"/>
          <w:sz w:val="22"/>
        </w:rPr>
        <w:t xml:space="preserve">           </w:t>
      </w:r>
      <w:r w:rsidR="00CD2D9A">
        <w:rPr>
          <w:rFonts w:ascii="Arial" w:hAnsi="Arial"/>
          <w:sz w:val="22"/>
        </w:rPr>
        <w:t xml:space="preserve">Minnesota Housing </w:t>
      </w:r>
      <w:r w:rsidR="00602D0D">
        <w:rPr>
          <w:rFonts w:ascii="Arial" w:hAnsi="Arial"/>
          <w:sz w:val="22"/>
        </w:rPr>
        <w:t xml:space="preserve">Common Application </w:t>
      </w:r>
      <w:r w:rsidR="005F6082">
        <w:rPr>
          <w:rFonts w:ascii="Arial" w:hAnsi="Arial"/>
          <w:sz w:val="22"/>
        </w:rPr>
        <w:t xml:space="preserve">Form) </w:t>
      </w:r>
      <w:r w:rsidR="00602D0D">
        <w:rPr>
          <w:rFonts w:ascii="Arial" w:hAnsi="Arial"/>
          <w:sz w:val="22"/>
        </w:rPr>
        <w:t>(the “Application”</w:t>
      </w:r>
      <w:r w:rsidR="002113CA">
        <w:rPr>
          <w:rFonts w:ascii="Arial" w:hAnsi="Arial"/>
          <w:sz w:val="22"/>
        </w:rPr>
        <w:t xml:space="preserve">) </w:t>
      </w:r>
      <w:r w:rsidR="005F6082">
        <w:rPr>
          <w:rFonts w:ascii="Arial" w:hAnsi="Arial"/>
          <w:sz w:val="22"/>
        </w:rPr>
        <w:t>and required exhibits</w:t>
      </w:r>
      <w:r>
        <w:rPr>
          <w:rFonts w:ascii="Arial" w:hAnsi="Arial"/>
          <w:sz w:val="22"/>
        </w:rPr>
        <w:t xml:space="preserve"> must be submitted.</w:t>
      </w:r>
    </w:p>
    <w:p w:rsidR="005243D4" w:rsidRDefault="005243D4" w:rsidP="00F9009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p>
    <w:p w:rsidR="00BA0379" w:rsidRDefault="0096684B" w:rsidP="009668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sidR="00BA0379">
        <w:rPr>
          <w:rFonts w:ascii="Arial" w:hAnsi="Arial"/>
          <w:sz w:val="22"/>
        </w:rPr>
        <w:t>(</w:t>
      </w:r>
      <w:r w:rsidR="005243D4">
        <w:rPr>
          <w:rFonts w:ascii="Arial" w:hAnsi="Arial"/>
          <w:sz w:val="22"/>
        </w:rPr>
        <w:t>2</w:t>
      </w:r>
      <w:r w:rsidR="00BA0379">
        <w:rPr>
          <w:rFonts w:ascii="Arial" w:hAnsi="Arial"/>
          <w:sz w:val="22"/>
        </w:rPr>
        <w:t>)</w:t>
      </w:r>
      <w:r w:rsidR="00F90090">
        <w:rPr>
          <w:rFonts w:ascii="Arial" w:hAnsi="Arial"/>
          <w:sz w:val="22"/>
        </w:rPr>
        <w:tab/>
      </w:r>
      <w:r w:rsidR="00BA0379">
        <w:rPr>
          <w:rFonts w:ascii="Arial" w:hAnsi="Arial"/>
          <w:sz w:val="22"/>
        </w:rPr>
        <w:t xml:space="preserve">At least one of such copies must be </w:t>
      </w:r>
      <w:r w:rsidR="003E3916">
        <w:rPr>
          <w:rFonts w:ascii="Arial" w:hAnsi="Arial"/>
          <w:sz w:val="22"/>
        </w:rPr>
        <w:t xml:space="preserve">an </w:t>
      </w:r>
      <w:r w:rsidR="005F6082">
        <w:rPr>
          <w:rFonts w:ascii="Arial" w:hAnsi="Arial"/>
          <w:sz w:val="22"/>
        </w:rPr>
        <w:t>original</w:t>
      </w:r>
      <w:r w:rsidR="00BA0379">
        <w:rPr>
          <w:rFonts w:ascii="Arial" w:hAnsi="Arial"/>
          <w:sz w:val="22"/>
        </w:rPr>
        <w:t xml:space="preserve">ly </w:t>
      </w:r>
      <w:r w:rsidR="005F6082">
        <w:rPr>
          <w:rFonts w:ascii="Arial" w:hAnsi="Arial"/>
          <w:sz w:val="22"/>
        </w:rPr>
        <w:t>signed and dated</w:t>
      </w:r>
      <w:r w:rsidR="00BA0379">
        <w:rPr>
          <w:rFonts w:ascii="Arial" w:hAnsi="Arial"/>
          <w:sz w:val="22"/>
        </w:rPr>
        <w:t xml:space="preserve"> copy.</w:t>
      </w:r>
    </w:p>
    <w:p w:rsidR="005243D4" w:rsidRDefault="005243D4" w:rsidP="00BA03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p>
    <w:p w:rsidR="00BA0379" w:rsidRDefault="0096684B" w:rsidP="009668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sidR="00BA0379">
        <w:rPr>
          <w:rFonts w:ascii="Arial" w:hAnsi="Arial"/>
          <w:sz w:val="22"/>
        </w:rPr>
        <w:t>(</w:t>
      </w:r>
      <w:r w:rsidR="005243D4">
        <w:rPr>
          <w:rFonts w:ascii="Arial" w:hAnsi="Arial"/>
          <w:sz w:val="22"/>
        </w:rPr>
        <w:t>3</w:t>
      </w:r>
      <w:r w:rsidR="00BA0379">
        <w:rPr>
          <w:rFonts w:ascii="Arial" w:hAnsi="Arial"/>
          <w:sz w:val="22"/>
        </w:rPr>
        <w:t>)</w:t>
      </w:r>
      <w:r w:rsidR="00F90090">
        <w:rPr>
          <w:rFonts w:ascii="Arial" w:hAnsi="Arial"/>
          <w:sz w:val="22"/>
        </w:rPr>
        <w:tab/>
      </w:r>
      <w:r w:rsidR="00BA0379">
        <w:rPr>
          <w:rFonts w:ascii="Arial" w:hAnsi="Arial"/>
          <w:sz w:val="22"/>
        </w:rPr>
        <w:t xml:space="preserve">The </w:t>
      </w:r>
      <w:r w:rsidR="00DE2015">
        <w:rPr>
          <w:rFonts w:ascii="Arial" w:hAnsi="Arial"/>
          <w:sz w:val="22"/>
        </w:rPr>
        <w:t>a</w:t>
      </w:r>
      <w:r w:rsidR="00BA0379">
        <w:rPr>
          <w:rFonts w:ascii="Arial" w:hAnsi="Arial"/>
          <w:sz w:val="22"/>
        </w:rPr>
        <w:t>pp</w:t>
      </w:r>
      <w:r w:rsidR="00CD2D9A">
        <w:rPr>
          <w:rFonts w:ascii="Arial" w:hAnsi="Arial"/>
          <w:sz w:val="22"/>
        </w:rPr>
        <w:t xml:space="preserve">licable </w:t>
      </w:r>
      <w:r w:rsidR="00DE2015">
        <w:rPr>
          <w:rFonts w:ascii="Arial" w:hAnsi="Arial"/>
          <w:sz w:val="22"/>
        </w:rPr>
        <w:t>a</w:t>
      </w:r>
      <w:r w:rsidR="00CD2D9A">
        <w:rPr>
          <w:rFonts w:ascii="Arial" w:hAnsi="Arial"/>
          <w:sz w:val="22"/>
        </w:rPr>
        <w:t xml:space="preserve">pplication fee must </w:t>
      </w:r>
      <w:r w:rsidR="00BA0379">
        <w:rPr>
          <w:rFonts w:ascii="Arial" w:hAnsi="Arial"/>
          <w:sz w:val="22"/>
        </w:rPr>
        <w:t>accompany the submission.</w:t>
      </w:r>
      <w:r w:rsidR="00BA0379">
        <w:rPr>
          <w:rFonts w:ascii="Arial" w:hAnsi="Arial"/>
          <w:sz w:val="22"/>
        </w:rPr>
        <w:br/>
      </w:r>
    </w:p>
    <w:p w:rsidR="005F6082" w:rsidRDefault="005F6082" w:rsidP="00BA03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It is the applicant's respo</w:t>
      </w:r>
      <w:r w:rsidR="002113CA">
        <w:rPr>
          <w:rFonts w:ascii="Arial" w:hAnsi="Arial"/>
          <w:sz w:val="22"/>
        </w:rPr>
        <w:t>nsibility to submit a complete A</w:t>
      </w:r>
      <w:r>
        <w:rPr>
          <w:rFonts w:ascii="Arial" w:hAnsi="Arial"/>
          <w:sz w:val="22"/>
        </w:rPr>
        <w:t xml:space="preserve">pplication.  </w:t>
      </w:r>
      <w:r w:rsidR="000D3E89">
        <w:rPr>
          <w:rFonts w:ascii="Arial" w:hAnsi="Arial"/>
          <w:sz w:val="22"/>
        </w:rPr>
        <w:t xml:space="preserve">The City of Minneapolis and </w:t>
      </w:r>
      <w:r>
        <w:rPr>
          <w:rFonts w:ascii="Arial" w:hAnsi="Arial"/>
          <w:sz w:val="22"/>
        </w:rPr>
        <w:t xml:space="preserve">HRA will </w:t>
      </w:r>
      <w:r w:rsidR="000D3E89">
        <w:rPr>
          <w:rFonts w:ascii="Arial" w:hAnsi="Arial"/>
          <w:sz w:val="22"/>
        </w:rPr>
        <w:t xml:space="preserve">award 9% </w:t>
      </w:r>
      <w:r w:rsidR="00915B1A">
        <w:rPr>
          <w:rFonts w:ascii="Arial" w:hAnsi="Arial"/>
          <w:sz w:val="22"/>
        </w:rPr>
        <w:t xml:space="preserve">HTCs </w:t>
      </w:r>
      <w:r>
        <w:rPr>
          <w:rFonts w:ascii="Arial" w:hAnsi="Arial"/>
          <w:sz w:val="22"/>
        </w:rPr>
        <w:t>base</w:t>
      </w:r>
      <w:r w:rsidR="00915B1A">
        <w:rPr>
          <w:rFonts w:ascii="Arial" w:hAnsi="Arial"/>
          <w:sz w:val="22"/>
        </w:rPr>
        <w:t>d</w:t>
      </w:r>
      <w:r w:rsidR="002113CA">
        <w:rPr>
          <w:rFonts w:ascii="Arial" w:hAnsi="Arial"/>
          <w:sz w:val="22"/>
        </w:rPr>
        <w:t xml:space="preserve"> upon the A</w:t>
      </w:r>
      <w:r>
        <w:rPr>
          <w:rFonts w:ascii="Arial" w:hAnsi="Arial"/>
          <w:sz w:val="22"/>
        </w:rPr>
        <w:t>pplication</w:t>
      </w:r>
      <w:r w:rsidR="003E3916">
        <w:rPr>
          <w:rFonts w:ascii="Arial" w:hAnsi="Arial"/>
          <w:sz w:val="22"/>
        </w:rPr>
        <w:t>s</w:t>
      </w:r>
      <w:r>
        <w:rPr>
          <w:rFonts w:ascii="Arial" w:hAnsi="Arial"/>
          <w:sz w:val="22"/>
        </w:rPr>
        <w:t xml:space="preserve"> </w:t>
      </w:r>
      <w:r w:rsidR="003E3916">
        <w:rPr>
          <w:rFonts w:ascii="Arial" w:hAnsi="Arial"/>
          <w:sz w:val="22"/>
        </w:rPr>
        <w:t>received by</w:t>
      </w:r>
      <w:r>
        <w:rPr>
          <w:rFonts w:ascii="Arial" w:hAnsi="Arial"/>
          <w:sz w:val="22"/>
        </w:rPr>
        <w:t xml:space="preserve"> the application due date.</w:t>
      </w:r>
    </w:p>
    <w:p w:rsidR="005F6082" w:rsidRDefault="005F6082"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3E3916" w:rsidRDefault="002113CA"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If the A</w:t>
      </w:r>
      <w:r w:rsidR="005F6082" w:rsidRPr="003E3916">
        <w:rPr>
          <w:rFonts w:ascii="Arial" w:hAnsi="Arial"/>
          <w:sz w:val="22"/>
        </w:rPr>
        <w:t>pplication and required exhibits are not legible and</w:t>
      </w:r>
      <w:r w:rsidR="00915B1A">
        <w:rPr>
          <w:rFonts w:ascii="Arial" w:hAnsi="Arial"/>
          <w:sz w:val="22"/>
        </w:rPr>
        <w:t>/or</w:t>
      </w:r>
      <w:r>
        <w:rPr>
          <w:rFonts w:ascii="Arial" w:hAnsi="Arial"/>
          <w:sz w:val="22"/>
        </w:rPr>
        <w:t xml:space="preserve"> complete, the A</w:t>
      </w:r>
      <w:r w:rsidR="005F6082" w:rsidRPr="003E3916">
        <w:rPr>
          <w:rFonts w:ascii="Arial" w:hAnsi="Arial"/>
          <w:sz w:val="22"/>
        </w:rPr>
        <w:t>pplication will be returned</w:t>
      </w:r>
      <w:r w:rsidR="00600022" w:rsidRPr="003E3916">
        <w:rPr>
          <w:rFonts w:ascii="Arial" w:hAnsi="Arial"/>
          <w:sz w:val="22"/>
        </w:rPr>
        <w:t xml:space="preserve"> </w:t>
      </w:r>
      <w:r w:rsidR="002F3A22">
        <w:rPr>
          <w:rFonts w:ascii="Arial" w:hAnsi="Arial"/>
          <w:sz w:val="22"/>
        </w:rPr>
        <w:t xml:space="preserve">to the </w:t>
      </w:r>
      <w:r>
        <w:rPr>
          <w:rFonts w:ascii="Arial" w:hAnsi="Arial"/>
          <w:sz w:val="22"/>
        </w:rPr>
        <w:t xml:space="preserve">applicant </w:t>
      </w:r>
      <w:r w:rsidR="00600022" w:rsidRPr="003E3916">
        <w:rPr>
          <w:rFonts w:ascii="Arial" w:hAnsi="Arial"/>
          <w:sz w:val="22"/>
        </w:rPr>
        <w:t xml:space="preserve">and </w:t>
      </w:r>
      <w:r w:rsidR="00915B1A">
        <w:rPr>
          <w:rFonts w:ascii="Arial" w:hAnsi="Arial"/>
          <w:sz w:val="22"/>
        </w:rPr>
        <w:t xml:space="preserve">the </w:t>
      </w:r>
      <w:r w:rsidR="003E3916" w:rsidRPr="003E3916">
        <w:rPr>
          <w:rFonts w:ascii="Arial" w:hAnsi="Arial"/>
          <w:sz w:val="22"/>
        </w:rPr>
        <w:t xml:space="preserve">application </w:t>
      </w:r>
      <w:r w:rsidR="00845504">
        <w:rPr>
          <w:rFonts w:ascii="Arial" w:hAnsi="Arial"/>
          <w:sz w:val="22"/>
        </w:rPr>
        <w:t>fee</w:t>
      </w:r>
      <w:r w:rsidR="00C26B58">
        <w:rPr>
          <w:rFonts w:ascii="Arial" w:hAnsi="Arial"/>
          <w:sz w:val="22"/>
        </w:rPr>
        <w:t xml:space="preserve"> </w:t>
      </w:r>
      <w:r w:rsidR="003E3916" w:rsidRPr="003E3916">
        <w:rPr>
          <w:rFonts w:ascii="Arial" w:hAnsi="Arial"/>
          <w:sz w:val="22"/>
        </w:rPr>
        <w:t>will be</w:t>
      </w:r>
      <w:r w:rsidR="00600022" w:rsidRPr="003E3916">
        <w:rPr>
          <w:rFonts w:ascii="Arial" w:hAnsi="Arial"/>
          <w:sz w:val="22"/>
        </w:rPr>
        <w:t xml:space="preserve"> forfeited</w:t>
      </w:r>
      <w:r>
        <w:rPr>
          <w:rFonts w:ascii="Arial" w:hAnsi="Arial"/>
          <w:sz w:val="22"/>
        </w:rPr>
        <w:t>.  No A</w:t>
      </w:r>
      <w:r w:rsidR="005F6082" w:rsidRPr="003E3916">
        <w:rPr>
          <w:rFonts w:ascii="Arial" w:hAnsi="Arial"/>
          <w:sz w:val="22"/>
        </w:rPr>
        <w:t>pplications, exhibits, documentation or application f</w:t>
      </w:r>
      <w:r>
        <w:rPr>
          <w:rFonts w:ascii="Arial" w:hAnsi="Arial"/>
          <w:sz w:val="22"/>
        </w:rPr>
        <w:t>ees will be accepted after the A</w:t>
      </w:r>
      <w:r w:rsidR="005F6082" w:rsidRPr="003E3916">
        <w:rPr>
          <w:rFonts w:ascii="Arial" w:hAnsi="Arial"/>
          <w:sz w:val="22"/>
        </w:rPr>
        <w:t>pplication due date</w:t>
      </w:r>
      <w:r w:rsidR="008D31A1">
        <w:rPr>
          <w:rFonts w:ascii="Arial" w:hAnsi="Arial"/>
          <w:sz w:val="22"/>
        </w:rPr>
        <w:t>.</w:t>
      </w:r>
    </w:p>
    <w:p w:rsidR="005F6082" w:rsidRDefault="005F6082"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Applicat</w:t>
      </w:r>
      <w:r w:rsidR="00744318">
        <w:rPr>
          <w:rFonts w:ascii="Arial" w:hAnsi="Arial"/>
          <w:sz w:val="22"/>
        </w:rPr>
        <w:t xml:space="preserve">ions will </w:t>
      </w:r>
      <w:r w:rsidR="00744318" w:rsidRPr="00915B1A">
        <w:rPr>
          <w:rFonts w:ascii="Arial" w:hAnsi="Arial"/>
          <w:sz w:val="22"/>
          <w:u w:val="single"/>
        </w:rPr>
        <w:t>not</w:t>
      </w:r>
      <w:r w:rsidR="00744318">
        <w:rPr>
          <w:rFonts w:ascii="Arial" w:hAnsi="Arial"/>
          <w:sz w:val="22"/>
        </w:rPr>
        <w:t xml:space="preserve"> be accepted by facsimile or email</w:t>
      </w:r>
      <w:r>
        <w:rPr>
          <w:rFonts w:ascii="Arial" w:hAnsi="Arial"/>
          <w:sz w:val="22"/>
        </w:rPr>
        <w:t>.</w:t>
      </w:r>
    </w:p>
    <w:p w:rsidR="005F6082" w:rsidRDefault="005F6082"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915B1A" w:rsidP="00DF194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Applications are required to be </w:t>
      </w:r>
      <w:r w:rsidR="005F6082">
        <w:rPr>
          <w:rFonts w:ascii="Arial" w:hAnsi="Arial"/>
          <w:sz w:val="22"/>
        </w:rPr>
        <w:t>submitted to:</w:t>
      </w:r>
    </w:p>
    <w:p w:rsidR="005F6082" w:rsidRDefault="005F6082" w:rsidP="00DF194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463CC8"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t>Community Planning &amp; Economic Development</w:t>
      </w:r>
    </w:p>
    <w:p w:rsidR="00463CC8" w:rsidRDefault="00463CC8"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t>Crown Roller Mill, Suite 200</w:t>
      </w:r>
    </w:p>
    <w:p w:rsidR="00463CC8" w:rsidRDefault="00463CC8"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t>105 5</w:t>
      </w:r>
      <w:r w:rsidRPr="00463CC8">
        <w:rPr>
          <w:rFonts w:ascii="Arial" w:hAnsi="Arial"/>
          <w:sz w:val="22"/>
          <w:vertAlign w:val="superscript"/>
        </w:rPr>
        <w:t>th</w:t>
      </w:r>
      <w:r>
        <w:rPr>
          <w:rFonts w:ascii="Arial" w:hAnsi="Arial"/>
          <w:sz w:val="22"/>
        </w:rPr>
        <w:t xml:space="preserve"> Avenue South</w:t>
      </w:r>
    </w:p>
    <w:p w:rsidR="00463CC8" w:rsidRDefault="00463CC8"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t>Minneapolis, MN  55401</w:t>
      </w:r>
    </w:p>
    <w:p w:rsidR="00463CC8" w:rsidRDefault="00534D64"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w:t>
      </w:r>
      <w:r>
        <w:rPr>
          <w:rFonts w:ascii="Arial" w:hAnsi="Arial"/>
          <w:sz w:val="22"/>
        </w:rPr>
        <w:tab/>
        <w:t>o</w:t>
      </w:r>
      <w:r w:rsidR="00463CC8">
        <w:rPr>
          <w:rFonts w:ascii="Arial" w:hAnsi="Arial"/>
          <w:sz w:val="22"/>
        </w:rPr>
        <w:t>r</w:t>
      </w:r>
    </w:p>
    <w:p w:rsidR="00463CC8" w:rsidRDefault="00463C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t>Saint Paul Housing and Redevelopment Authority</w:t>
      </w:r>
    </w:p>
    <w:p w:rsidR="00463CC8" w:rsidRDefault="00463C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t>Low Income Housing Tax Credit Program</w:t>
      </w:r>
    </w:p>
    <w:p w:rsidR="00463CC8" w:rsidRDefault="00463C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t>1</w:t>
      </w:r>
      <w:r w:rsidR="000D71D8">
        <w:rPr>
          <w:rFonts w:ascii="Arial" w:hAnsi="Arial"/>
          <w:sz w:val="22"/>
        </w:rPr>
        <w:t>1</w:t>
      </w:r>
      <w:r w:rsidRPr="00463CC8">
        <w:rPr>
          <w:rFonts w:ascii="Arial" w:hAnsi="Arial"/>
          <w:sz w:val="22"/>
          <w:vertAlign w:val="superscript"/>
        </w:rPr>
        <w:t>th</w:t>
      </w:r>
      <w:r>
        <w:rPr>
          <w:rFonts w:ascii="Arial" w:hAnsi="Arial"/>
          <w:sz w:val="22"/>
        </w:rPr>
        <w:t xml:space="preserve"> Floor, City Hall Annex</w:t>
      </w:r>
    </w:p>
    <w:p w:rsidR="00463CC8" w:rsidRDefault="00463C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t>25 West Fourth Street</w:t>
      </w:r>
    </w:p>
    <w:p w:rsidR="00463CC8" w:rsidRDefault="00463C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t>Saint Paul, MN  55102</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Arial" w:hAnsi="Arial"/>
          <w:sz w:val="22"/>
        </w:rPr>
      </w:pPr>
    </w:p>
    <w:p w:rsidR="005F6082" w:rsidRPr="00DB065A" w:rsidRDefault="002113CA" w:rsidP="00915B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Upon receipt of an A</w:t>
      </w:r>
      <w:r w:rsidR="005F6082">
        <w:rPr>
          <w:rFonts w:ascii="Arial" w:hAnsi="Arial"/>
          <w:sz w:val="22"/>
        </w:rPr>
        <w:t>pplication, the Board wi</w:t>
      </w:r>
      <w:r w:rsidR="00A74395">
        <w:rPr>
          <w:rFonts w:ascii="Arial" w:hAnsi="Arial"/>
          <w:sz w:val="22"/>
        </w:rPr>
        <w:t>ll notify the Mayo</w:t>
      </w:r>
      <w:r w:rsidR="000D3E89">
        <w:rPr>
          <w:rFonts w:ascii="Arial" w:hAnsi="Arial"/>
          <w:sz w:val="22"/>
        </w:rPr>
        <w:t>r</w:t>
      </w:r>
      <w:r w:rsidR="005F6082">
        <w:rPr>
          <w:rFonts w:ascii="Arial" w:hAnsi="Arial"/>
          <w:sz w:val="22"/>
        </w:rPr>
        <w:t xml:space="preserve"> of the local jurisdiction </w:t>
      </w:r>
      <w:r w:rsidR="00915B1A">
        <w:rPr>
          <w:rFonts w:ascii="Arial" w:hAnsi="Arial"/>
          <w:sz w:val="22"/>
        </w:rPr>
        <w:t>in which t</w:t>
      </w:r>
      <w:r w:rsidR="005F6082">
        <w:rPr>
          <w:rFonts w:ascii="Arial" w:hAnsi="Arial"/>
          <w:sz w:val="22"/>
        </w:rPr>
        <w:t>he proposed project is planned</w:t>
      </w:r>
      <w:r w:rsidR="00915B1A">
        <w:rPr>
          <w:rFonts w:ascii="Arial" w:hAnsi="Arial"/>
          <w:sz w:val="22"/>
        </w:rPr>
        <w:t xml:space="preserve"> to be developed</w:t>
      </w:r>
      <w:r w:rsidR="005F6082">
        <w:rPr>
          <w:rFonts w:ascii="Arial" w:hAnsi="Arial"/>
          <w:sz w:val="22"/>
        </w:rPr>
        <w:t xml:space="preserve">.  </w:t>
      </w:r>
      <w:r w:rsidR="005F6082" w:rsidRPr="00DB065A">
        <w:rPr>
          <w:rFonts w:ascii="Arial" w:hAnsi="Arial"/>
          <w:sz w:val="22"/>
        </w:rPr>
        <w:t>This notification will include ch</w:t>
      </w:r>
      <w:r w:rsidR="000D3E89">
        <w:rPr>
          <w:rFonts w:ascii="Arial" w:hAnsi="Arial"/>
          <w:sz w:val="22"/>
        </w:rPr>
        <w:t xml:space="preserve">aracteristics of the proposed </w:t>
      </w:r>
      <w:r w:rsidR="005F6082" w:rsidRPr="00DB065A">
        <w:rPr>
          <w:rFonts w:ascii="Arial" w:hAnsi="Arial"/>
          <w:sz w:val="22"/>
        </w:rPr>
        <w:t>H</w:t>
      </w:r>
      <w:r w:rsidR="0059479C" w:rsidRPr="00DB065A">
        <w:rPr>
          <w:rFonts w:ascii="Arial" w:hAnsi="Arial"/>
          <w:sz w:val="22"/>
        </w:rPr>
        <w:t>T</w:t>
      </w:r>
      <w:r w:rsidR="005F6082" w:rsidRPr="00DB065A">
        <w:rPr>
          <w:rFonts w:ascii="Arial" w:hAnsi="Arial"/>
          <w:sz w:val="22"/>
        </w:rPr>
        <w:t>C project and provide an opportunity for the local govern</w:t>
      </w:r>
      <w:r w:rsidR="00915B1A">
        <w:rPr>
          <w:rFonts w:ascii="Arial" w:hAnsi="Arial"/>
          <w:sz w:val="22"/>
        </w:rPr>
        <w:t>m</w:t>
      </w:r>
      <w:r w:rsidR="008D31A1">
        <w:rPr>
          <w:rFonts w:ascii="Arial" w:hAnsi="Arial"/>
          <w:sz w:val="22"/>
        </w:rPr>
        <w:t>ent to comment on the project.</w:t>
      </w:r>
    </w:p>
    <w:p w:rsidR="005F6082" w:rsidRPr="00C93E5F" w:rsidRDefault="005F6082" w:rsidP="008D31A1">
      <w:pPr>
        <w:pStyle w:val="Heading2"/>
        <w:spacing w:after="0"/>
        <w:ind w:left="720"/>
        <w:rPr>
          <w:rFonts w:ascii="Arial" w:hAnsi="Arial"/>
          <w:i w:val="0"/>
          <w:sz w:val="22"/>
        </w:rPr>
      </w:pPr>
      <w:bookmarkStart w:id="6" w:name="_Toc511902985"/>
      <w:r w:rsidRPr="00C93E5F">
        <w:rPr>
          <w:rFonts w:ascii="Arial" w:hAnsi="Arial"/>
          <w:i w:val="0"/>
          <w:sz w:val="22"/>
        </w:rPr>
        <w:lastRenderedPageBreak/>
        <w:t>C.</w:t>
      </w:r>
      <w:r w:rsidRPr="00C93E5F">
        <w:rPr>
          <w:rFonts w:ascii="Arial" w:hAnsi="Arial"/>
          <w:i w:val="0"/>
          <w:sz w:val="22"/>
        </w:rPr>
        <w:tab/>
        <w:t>Multiple Buildings</w:t>
      </w:r>
      <w:r w:rsidRPr="00C93E5F">
        <w:rPr>
          <w:rFonts w:ascii="Arial" w:hAnsi="Arial"/>
          <w:i w:val="0"/>
          <w:sz w:val="22"/>
        </w:rPr>
        <w:fldChar w:fldCharType="begin"/>
      </w:r>
      <w:r w:rsidRPr="00C93E5F">
        <w:rPr>
          <w:rFonts w:ascii="Arial" w:hAnsi="Arial"/>
          <w:i w:val="0"/>
          <w:sz w:val="22"/>
        </w:rPr>
        <w:instrText>tc \l2 "C.</w:instrText>
      </w:r>
      <w:r w:rsidRPr="00C93E5F">
        <w:rPr>
          <w:rFonts w:ascii="Arial" w:hAnsi="Arial"/>
          <w:i w:val="0"/>
          <w:sz w:val="22"/>
        </w:rPr>
        <w:tab/>
        <w:instrText>Multiple Buildings</w:instrText>
      </w:r>
      <w:r w:rsidRPr="00C93E5F">
        <w:rPr>
          <w:rFonts w:ascii="Arial" w:hAnsi="Arial"/>
          <w:i w:val="0"/>
          <w:sz w:val="22"/>
        </w:rPr>
        <w:fldChar w:fldCharType="end"/>
      </w:r>
      <w:bookmarkEnd w:id="6"/>
    </w:p>
    <w:p w:rsidR="005F6082" w:rsidRDefault="005F6082">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Projects may include "multiple buildings" having similarly constructed housing units, provided the buildings are located</w:t>
      </w:r>
      <w:r w:rsidR="00C26B58">
        <w:rPr>
          <w:rFonts w:ascii="Arial" w:hAnsi="Arial"/>
          <w:sz w:val="22"/>
        </w:rPr>
        <w:t xml:space="preserve"> on the same tract of land</w:t>
      </w:r>
      <w:r w:rsidR="00C93E5F">
        <w:rPr>
          <w:rFonts w:ascii="Arial" w:hAnsi="Arial"/>
          <w:sz w:val="22"/>
        </w:rPr>
        <w:t>,</w:t>
      </w:r>
      <w:r w:rsidR="00C26B58">
        <w:rPr>
          <w:rFonts w:ascii="Arial" w:hAnsi="Arial"/>
          <w:sz w:val="22"/>
        </w:rPr>
        <w:t xml:space="preserve"> are </w:t>
      </w:r>
      <w:r>
        <w:rPr>
          <w:rFonts w:ascii="Arial" w:hAnsi="Arial"/>
          <w:sz w:val="22"/>
        </w:rPr>
        <w:t xml:space="preserve">owned by the same </w:t>
      </w:r>
      <w:r w:rsidR="00C93E5F">
        <w:rPr>
          <w:rFonts w:ascii="Arial" w:hAnsi="Arial"/>
          <w:sz w:val="22"/>
        </w:rPr>
        <w:t xml:space="preserve">legal </w:t>
      </w:r>
      <w:r w:rsidR="00C26B58">
        <w:rPr>
          <w:rFonts w:ascii="Arial" w:hAnsi="Arial"/>
          <w:sz w:val="22"/>
        </w:rPr>
        <w:t xml:space="preserve">entity </w:t>
      </w:r>
      <w:r>
        <w:rPr>
          <w:rFonts w:ascii="Arial" w:hAnsi="Arial"/>
          <w:sz w:val="22"/>
        </w:rPr>
        <w:t xml:space="preserve">and are financed pursuant to a common plan of financing.  Scattered site buildings not </w:t>
      </w:r>
      <w:r w:rsidR="00600022">
        <w:rPr>
          <w:rFonts w:ascii="Arial" w:hAnsi="Arial"/>
          <w:sz w:val="22"/>
        </w:rPr>
        <w:t xml:space="preserve">located </w:t>
      </w:r>
      <w:r w:rsidR="00C26B58">
        <w:rPr>
          <w:rFonts w:ascii="Arial" w:hAnsi="Arial"/>
          <w:sz w:val="22"/>
        </w:rPr>
        <w:t xml:space="preserve">on the same tract of land may </w:t>
      </w:r>
      <w:r>
        <w:rPr>
          <w:rFonts w:ascii="Arial" w:hAnsi="Arial"/>
          <w:sz w:val="22"/>
        </w:rPr>
        <w:t xml:space="preserve">also qualify </w:t>
      </w:r>
      <w:r w:rsidR="000D3E89">
        <w:rPr>
          <w:rFonts w:ascii="Arial" w:hAnsi="Arial"/>
          <w:sz w:val="22"/>
        </w:rPr>
        <w:t xml:space="preserve">for </w:t>
      </w:r>
      <w:r w:rsidR="00C26B58">
        <w:rPr>
          <w:rFonts w:ascii="Arial" w:hAnsi="Arial"/>
          <w:sz w:val="22"/>
        </w:rPr>
        <w:t xml:space="preserve">HTC </w:t>
      </w:r>
      <w:r>
        <w:rPr>
          <w:rFonts w:ascii="Arial" w:hAnsi="Arial"/>
          <w:sz w:val="22"/>
        </w:rPr>
        <w:t xml:space="preserve">if the project meets all of the other requirements </w:t>
      </w:r>
      <w:r w:rsidR="00C93E5F">
        <w:rPr>
          <w:rFonts w:ascii="Arial" w:hAnsi="Arial"/>
          <w:sz w:val="22"/>
        </w:rPr>
        <w:t xml:space="preserve">and </w:t>
      </w:r>
      <w:r w:rsidR="00C93E5F" w:rsidRPr="00C93E5F">
        <w:rPr>
          <w:rFonts w:ascii="Arial" w:hAnsi="Arial"/>
          <w:sz w:val="22"/>
          <w:u w:val="single"/>
        </w:rPr>
        <w:t>all</w:t>
      </w:r>
      <w:r w:rsidR="00C93E5F">
        <w:rPr>
          <w:rFonts w:ascii="Arial" w:hAnsi="Arial"/>
          <w:sz w:val="22"/>
        </w:rPr>
        <w:t xml:space="preserve"> units in the </w:t>
      </w:r>
      <w:r>
        <w:rPr>
          <w:rFonts w:ascii="Arial" w:hAnsi="Arial"/>
          <w:sz w:val="22"/>
        </w:rPr>
        <w:t xml:space="preserve">project </w:t>
      </w:r>
      <w:r w:rsidR="00C93E5F">
        <w:rPr>
          <w:rFonts w:ascii="Arial" w:hAnsi="Arial"/>
          <w:sz w:val="22"/>
        </w:rPr>
        <w:t xml:space="preserve">are both income and rent </w:t>
      </w:r>
      <w:r>
        <w:rPr>
          <w:rFonts w:ascii="Arial" w:hAnsi="Arial"/>
          <w:sz w:val="22"/>
        </w:rPr>
        <w:t>restricted.</w:t>
      </w:r>
    </w:p>
    <w:p w:rsidR="005F6082" w:rsidRPr="00C93E5F" w:rsidRDefault="005F6082" w:rsidP="008D31A1">
      <w:pPr>
        <w:pStyle w:val="Heading2"/>
        <w:spacing w:after="0"/>
        <w:ind w:left="720"/>
        <w:rPr>
          <w:rFonts w:ascii="Arial" w:hAnsi="Arial"/>
          <w:i w:val="0"/>
          <w:sz w:val="22"/>
        </w:rPr>
      </w:pPr>
      <w:bookmarkStart w:id="7" w:name="_Toc511902986"/>
      <w:r w:rsidRPr="00C93E5F">
        <w:rPr>
          <w:rFonts w:ascii="Arial" w:hAnsi="Arial"/>
          <w:i w:val="0"/>
          <w:sz w:val="22"/>
        </w:rPr>
        <w:t>D.</w:t>
      </w:r>
      <w:r w:rsidRPr="00C93E5F">
        <w:rPr>
          <w:rFonts w:ascii="Arial" w:hAnsi="Arial"/>
          <w:i w:val="0"/>
          <w:sz w:val="22"/>
        </w:rPr>
        <w:tab/>
        <w:t>Transfer of Ownership</w:t>
      </w:r>
      <w:r w:rsidRPr="00C93E5F">
        <w:rPr>
          <w:rFonts w:ascii="Arial" w:hAnsi="Arial"/>
          <w:i w:val="0"/>
          <w:sz w:val="22"/>
        </w:rPr>
        <w:fldChar w:fldCharType="begin"/>
      </w:r>
      <w:r w:rsidRPr="00C93E5F">
        <w:rPr>
          <w:rFonts w:ascii="Arial" w:hAnsi="Arial"/>
          <w:i w:val="0"/>
          <w:sz w:val="22"/>
        </w:rPr>
        <w:instrText>tc \l2 "D.</w:instrText>
      </w:r>
      <w:r w:rsidRPr="00C93E5F">
        <w:rPr>
          <w:rFonts w:ascii="Arial" w:hAnsi="Arial"/>
          <w:i w:val="0"/>
          <w:sz w:val="22"/>
        </w:rPr>
        <w:tab/>
        <w:instrText>Transfer of Ownership</w:instrText>
      </w:r>
      <w:r w:rsidRPr="00C93E5F">
        <w:rPr>
          <w:rFonts w:ascii="Arial" w:hAnsi="Arial"/>
          <w:i w:val="0"/>
          <w:sz w:val="22"/>
        </w:rPr>
        <w:fldChar w:fldCharType="end"/>
      </w:r>
      <w:bookmarkEnd w:id="7"/>
    </w:p>
    <w:p w:rsidR="008D31A1" w:rsidRDefault="008D31A1" w:rsidP="00A743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rsidP="00A743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The Board strongly discourages the transfer of ownership in projects th</w:t>
      </w:r>
      <w:r w:rsidR="000D3E89">
        <w:rPr>
          <w:rFonts w:ascii="Arial" w:hAnsi="Arial"/>
          <w:sz w:val="22"/>
        </w:rPr>
        <w:t xml:space="preserve">at have been awarded </w:t>
      </w:r>
      <w:r w:rsidR="0059479C">
        <w:rPr>
          <w:rFonts w:ascii="Arial" w:hAnsi="Arial"/>
          <w:sz w:val="22"/>
        </w:rPr>
        <w:t>HTC</w:t>
      </w:r>
      <w:r>
        <w:rPr>
          <w:rFonts w:ascii="Arial" w:hAnsi="Arial"/>
          <w:sz w:val="22"/>
        </w:rPr>
        <w:t xml:space="preserve">.  Any </w:t>
      </w:r>
      <w:r w:rsidR="00C26B58">
        <w:rPr>
          <w:rFonts w:ascii="Arial" w:hAnsi="Arial"/>
          <w:sz w:val="22"/>
        </w:rPr>
        <w:t xml:space="preserve">transfer of title of a </w:t>
      </w:r>
      <w:r>
        <w:rPr>
          <w:rFonts w:ascii="Arial" w:hAnsi="Arial"/>
          <w:sz w:val="22"/>
        </w:rPr>
        <w:t>project or t</w:t>
      </w:r>
      <w:r w:rsidR="0059479C">
        <w:rPr>
          <w:rFonts w:ascii="Arial" w:hAnsi="Arial"/>
          <w:sz w:val="22"/>
        </w:rPr>
        <w:t xml:space="preserve">ransfer of more than 50% </w:t>
      </w:r>
      <w:r>
        <w:rPr>
          <w:rFonts w:ascii="Arial" w:hAnsi="Arial"/>
          <w:sz w:val="22"/>
        </w:rPr>
        <w:t xml:space="preserve">of </w:t>
      </w:r>
      <w:r w:rsidR="0059479C">
        <w:rPr>
          <w:rFonts w:ascii="Arial" w:hAnsi="Arial"/>
          <w:sz w:val="22"/>
        </w:rPr>
        <w:t xml:space="preserve">the ownership </w:t>
      </w:r>
      <w:r w:rsidR="001D3555">
        <w:rPr>
          <w:rFonts w:ascii="Arial" w:hAnsi="Arial"/>
          <w:sz w:val="22"/>
        </w:rPr>
        <w:t xml:space="preserve">interest </w:t>
      </w:r>
      <w:r w:rsidR="0059479C">
        <w:rPr>
          <w:rFonts w:ascii="Arial" w:hAnsi="Arial"/>
          <w:sz w:val="22"/>
        </w:rPr>
        <w:t xml:space="preserve">of </w:t>
      </w:r>
      <w:r w:rsidR="001D3555">
        <w:rPr>
          <w:rFonts w:ascii="Arial" w:hAnsi="Arial"/>
          <w:sz w:val="22"/>
        </w:rPr>
        <w:t xml:space="preserve">a </w:t>
      </w:r>
      <w:r>
        <w:rPr>
          <w:rFonts w:ascii="Arial" w:hAnsi="Arial"/>
          <w:sz w:val="22"/>
        </w:rPr>
        <w:t xml:space="preserve">general partner or change in a nonprofit partner </w:t>
      </w:r>
      <w:r w:rsidR="001D3555">
        <w:rPr>
          <w:rFonts w:ascii="Arial" w:hAnsi="Arial"/>
          <w:sz w:val="22"/>
        </w:rPr>
        <w:t>af</w:t>
      </w:r>
      <w:r w:rsidR="00F83207">
        <w:rPr>
          <w:rFonts w:ascii="Arial" w:hAnsi="Arial"/>
          <w:sz w:val="22"/>
        </w:rPr>
        <w:t>ter placement in service and through the</w:t>
      </w:r>
      <w:r w:rsidR="001D3555">
        <w:rPr>
          <w:rFonts w:ascii="Arial" w:hAnsi="Arial"/>
          <w:sz w:val="22"/>
        </w:rPr>
        <w:t xml:space="preserve"> fifth year of </w:t>
      </w:r>
      <w:r w:rsidR="0034036C">
        <w:rPr>
          <w:rFonts w:ascii="Arial" w:hAnsi="Arial"/>
          <w:sz w:val="22"/>
        </w:rPr>
        <w:t xml:space="preserve">the </w:t>
      </w:r>
      <w:r w:rsidR="000D3E89" w:rsidRPr="000D3E89">
        <w:rPr>
          <w:rFonts w:ascii="Arial" w:hAnsi="Arial"/>
          <w:sz w:val="22"/>
        </w:rPr>
        <w:t xml:space="preserve">15-year </w:t>
      </w:r>
      <w:r w:rsidR="000D3E89">
        <w:rPr>
          <w:rFonts w:ascii="Arial" w:hAnsi="Arial"/>
          <w:sz w:val="22"/>
        </w:rPr>
        <w:t>compliance period</w:t>
      </w:r>
      <w:r w:rsidR="001D3555">
        <w:rPr>
          <w:rFonts w:ascii="Arial" w:hAnsi="Arial"/>
          <w:sz w:val="22"/>
        </w:rPr>
        <w:t xml:space="preserve"> </w:t>
      </w:r>
      <w:r>
        <w:rPr>
          <w:rFonts w:ascii="Arial" w:hAnsi="Arial"/>
          <w:sz w:val="22"/>
        </w:rPr>
        <w:t xml:space="preserve">will be considered a material change in the project </w:t>
      </w:r>
      <w:r w:rsidR="00A91021">
        <w:rPr>
          <w:rFonts w:ascii="Arial" w:hAnsi="Arial"/>
          <w:sz w:val="22"/>
        </w:rPr>
        <w:t>(</w:t>
      </w:r>
      <w:r w:rsidR="001D3555">
        <w:rPr>
          <w:rFonts w:ascii="Arial" w:hAnsi="Arial"/>
          <w:sz w:val="22"/>
        </w:rPr>
        <w:t xml:space="preserve">“Transfer”) </w:t>
      </w:r>
      <w:r>
        <w:rPr>
          <w:rFonts w:ascii="Arial" w:hAnsi="Arial"/>
          <w:sz w:val="22"/>
        </w:rPr>
        <w:t xml:space="preserve">and will be subject to the </w:t>
      </w:r>
      <w:r w:rsidR="001D3555">
        <w:rPr>
          <w:rFonts w:ascii="Arial" w:hAnsi="Arial"/>
          <w:sz w:val="22"/>
        </w:rPr>
        <w:t xml:space="preserve">review and </w:t>
      </w:r>
      <w:r>
        <w:rPr>
          <w:rFonts w:ascii="Arial" w:hAnsi="Arial"/>
          <w:sz w:val="22"/>
        </w:rPr>
        <w:t>approval of the Board</w:t>
      </w:r>
      <w:r w:rsidR="001D3555">
        <w:rPr>
          <w:rFonts w:ascii="Arial" w:hAnsi="Arial"/>
          <w:sz w:val="22"/>
        </w:rPr>
        <w:t xml:space="preserve">. To request Transfer approval, </w:t>
      </w:r>
      <w:r w:rsidR="0034036C">
        <w:rPr>
          <w:rFonts w:ascii="Arial" w:hAnsi="Arial"/>
          <w:sz w:val="22"/>
        </w:rPr>
        <w:t>a project owner</w:t>
      </w:r>
      <w:r w:rsidR="00602D0D">
        <w:rPr>
          <w:rFonts w:ascii="Arial" w:hAnsi="Arial"/>
          <w:sz w:val="22"/>
        </w:rPr>
        <w:t xml:space="preserve"> must submit a revised A</w:t>
      </w:r>
      <w:r>
        <w:rPr>
          <w:rFonts w:ascii="Arial" w:hAnsi="Arial"/>
          <w:sz w:val="22"/>
        </w:rPr>
        <w:t xml:space="preserve">pplication along with a completed and executed Transfer </w:t>
      </w:r>
      <w:r w:rsidR="00865177">
        <w:rPr>
          <w:rFonts w:ascii="Arial" w:hAnsi="Arial"/>
          <w:sz w:val="22"/>
        </w:rPr>
        <w:t>o</w:t>
      </w:r>
      <w:r>
        <w:rPr>
          <w:rFonts w:ascii="Arial" w:hAnsi="Arial"/>
          <w:sz w:val="22"/>
        </w:rPr>
        <w:t xml:space="preserve">f Interest </w:t>
      </w:r>
      <w:r w:rsidR="001D3555">
        <w:rPr>
          <w:rFonts w:ascii="Arial" w:hAnsi="Arial"/>
          <w:sz w:val="22"/>
        </w:rPr>
        <w:t>Form (LIHC</w:t>
      </w:r>
      <w:r w:rsidR="001D3555">
        <w:rPr>
          <w:rFonts w:ascii="Arial" w:hAnsi="Arial"/>
          <w:sz w:val="22"/>
        </w:rPr>
        <w:noBreakHyphen/>
        <w:t>27 Exhibit N) and pay the Transfer F</w:t>
      </w:r>
      <w:r>
        <w:rPr>
          <w:rFonts w:ascii="Arial" w:hAnsi="Arial"/>
          <w:sz w:val="22"/>
        </w:rPr>
        <w:t xml:space="preserve">ee </w:t>
      </w:r>
      <w:r w:rsidR="001D3555">
        <w:rPr>
          <w:rFonts w:ascii="Arial" w:hAnsi="Arial"/>
          <w:sz w:val="22"/>
        </w:rPr>
        <w:t>set forth in Section</w:t>
      </w:r>
      <w:r w:rsidR="008D31A1">
        <w:rPr>
          <w:rFonts w:ascii="Arial" w:hAnsi="Arial"/>
          <w:sz w:val="22"/>
        </w:rPr>
        <w:t> </w:t>
      </w:r>
      <w:r w:rsidR="001D3555">
        <w:rPr>
          <w:rFonts w:ascii="Arial" w:hAnsi="Arial"/>
          <w:sz w:val="22"/>
        </w:rPr>
        <w:t>VIII</w:t>
      </w:r>
      <w:r w:rsidR="0034036C">
        <w:rPr>
          <w:rFonts w:ascii="Arial" w:hAnsi="Arial"/>
          <w:sz w:val="22"/>
        </w:rPr>
        <w:t xml:space="preserve"> of this Procedural Manual</w:t>
      </w:r>
      <w:r w:rsidR="001D3555">
        <w:rPr>
          <w:rFonts w:ascii="Arial" w:hAnsi="Arial"/>
          <w:sz w:val="22"/>
        </w:rPr>
        <w:t xml:space="preserve"> </w:t>
      </w:r>
      <w:r>
        <w:rPr>
          <w:rFonts w:ascii="Arial" w:hAnsi="Arial"/>
          <w:sz w:val="22"/>
        </w:rPr>
        <w:t xml:space="preserve">to </w:t>
      </w:r>
      <w:r w:rsidR="00350A65">
        <w:rPr>
          <w:rFonts w:ascii="Arial" w:hAnsi="Arial"/>
          <w:sz w:val="22"/>
        </w:rPr>
        <w:t>CPED</w:t>
      </w:r>
      <w:r>
        <w:rPr>
          <w:rFonts w:ascii="Arial" w:hAnsi="Arial"/>
          <w:sz w:val="22"/>
        </w:rPr>
        <w:t xml:space="preserve"> or HRA</w:t>
      </w:r>
      <w:r w:rsidR="0034036C">
        <w:rPr>
          <w:rFonts w:ascii="Arial" w:hAnsi="Arial"/>
          <w:sz w:val="22"/>
        </w:rPr>
        <w:t xml:space="preserve">, as applicable, together with </w:t>
      </w:r>
      <w:r>
        <w:rPr>
          <w:rFonts w:ascii="Arial" w:hAnsi="Arial"/>
          <w:sz w:val="22"/>
        </w:rPr>
        <w:t>any other documentation that the Board deems necessary.</w:t>
      </w:r>
    </w:p>
    <w:p w:rsidR="008D31A1" w:rsidRDefault="008D31A1" w:rsidP="008D31A1">
      <w:pPr>
        <w:pStyle w:val="Heading2"/>
        <w:spacing w:before="0" w:after="0"/>
        <w:ind w:left="720"/>
        <w:rPr>
          <w:rFonts w:ascii="Arial" w:hAnsi="Arial"/>
          <w:i w:val="0"/>
          <w:sz w:val="22"/>
        </w:rPr>
      </w:pPr>
    </w:p>
    <w:p w:rsidR="00A74395" w:rsidRDefault="005F6082" w:rsidP="008D31A1">
      <w:pPr>
        <w:pStyle w:val="Heading2"/>
        <w:spacing w:before="0" w:after="0"/>
        <w:ind w:left="720"/>
        <w:rPr>
          <w:rFonts w:ascii="Arial" w:hAnsi="Arial"/>
          <w:i w:val="0"/>
          <w:sz w:val="22"/>
          <w:szCs w:val="22"/>
        </w:rPr>
      </w:pPr>
      <w:bookmarkStart w:id="8" w:name="_Toc511902987"/>
      <w:r w:rsidRPr="00E03091">
        <w:rPr>
          <w:rFonts w:ascii="Arial" w:hAnsi="Arial"/>
          <w:i w:val="0"/>
          <w:sz w:val="22"/>
        </w:rPr>
        <w:t>E.</w:t>
      </w:r>
      <w:r w:rsidRPr="00E03091">
        <w:rPr>
          <w:rFonts w:ascii="Arial" w:hAnsi="Arial"/>
          <w:i w:val="0"/>
          <w:sz w:val="22"/>
        </w:rPr>
        <w:tab/>
      </w:r>
      <w:r w:rsidR="008C08D3" w:rsidRPr="00C93E5F">
        <w:rPr>
          <w:rFonts w:ascii="Arial" w:hAnsi="Arial"/>
          <w:i w:val="0"/>
          <w:sz w:val="22"/>
          <w:szCs w:val="22"/>
        </w:rPr>
        <w:t>Unacceptable Practices</w:t>
      </w:r>
      <w:bookmarkEnd w:id="8"/>
    </w:p>
    <w:p w:rsidR="008D31A1" w:rsidRDefault="008D31A1" w:rsidP="00511AA2">
      <w:pPr>
        <w:ind w:left="1440"/>
        <w:rPr>
          <w:rFonts w:ascii="Arial" w:hAnsi="Arial" w:cs="Arial"/>
          <w:b/>
          <w:sz w:val="22"/>
          <w:szCs w:val="22"/>
        </w:rPr>
      </w:pPr>
    </w:p>
    <w:p w:rsidR="008C08D3" w:rsidRDefault="008C08D3" w:rsidP="00511AA2">
      <w:pPr>
        <w:ind w:left="1440"/>
        <w:rPr>
          <w:rFonts w:ascii="Arial" w:hAnsi="Arial" w:cs="Arial"/>
          <w:b/>
          <w:sz w:val="22"/>
          <w:szCs w:val="22"/>
        </w:rPr>
      </w:pPr>
      <w:r w:rsidRPr="0001331D">
        <w:rPr>
          <w:rFonts w:ascii="Arial" w:hAnsi="Arial" w:cs="Arial"/>
          <w:b/>
          <w:sz w:val="22"/>
          <w:szCs w:val="22"/>
        </w:rPr>
        <w:t>Unapproved Transfer of Ownership</w:t>
      </w:r>
    </w:p>
    <w:p w:rsidR="00212609" w:rsidRPr="0001331D" w:rsidRDefault="00212609" w:rsidP="00511AA2">
      <w:pPr>
        <w:ind w:left="1440"/>
        <w:rPr>
          <w:rFonts w:ascii="Arial" w:hAnsi="Arial" w:cs="Arial"/>
          <w:b/>
          <w:sz w:val="22"/>
          <w:szCs w:val="22"/>
        </w:rPr>
      </w:pPr>
    </w:p>
    <w:p w:rsidR="00EF082B" w:rsidRPr="0001331D" w:rsidRDefault="008C08D3" w:rsidP="00B36050">
      <w:pPr>
        <w:ind w:left="1440"/>
        <w:jc w:val="both"/>
        <w:rPr>
          <w:rFonts w:ascii="Arial" w:hAnsi="Arial" w:cs="Arial"/>
          <w:sz w:val="22"/>
          <w:szCs w:val="22"/>
        </w:rPr>
      </w:pPr>
      <w:r w:rsidRPr="0001331D">
        <w:rPr>
          <w:rFonts w:ascii="Arial" w:hAnsi="Arial" w:cs="Arial"/>
          <w:sz w:val="22"/>
          <w:szCs w:val="22"/>
        </w:rPr>
        <w:t xml:space="preserve">Any unapproved </w:t>
      </w:r>
      <w:r w:rsidR="00F83207">
        <w:rPr>
          <w:rFonts w:ascii="Arial" w:hAnsi="Arial" w:cs="Arial"/>
          <w:sz w:val="22"/>
          <w:szCs w:val="22"/>
        </w:rPr>
        <w:t>T</w:t>
      </w:r>
      <w:r w:rsidRPr="0001331D">
        <w:rPr>
          <w:rFonts w:ascii="Arial" w:hAnsi="Arial" w:cs="Arial"/>
          <w:sz w:val="22"/>
          <w:szCs w:val="22"/>
        </w:rPr>
        <w:t xml:space="preserve">ransfer </w:t>
      </w:r>
      <w:r w:rsidR="00EF082B" w:rsidRPr="0001331D">
        <w:rPr>
          <w:rFonts w:ascii="Arial" w:hAnsi="Arial" w:cs="Arial"/>
          <w:sz w:val="22"/>
          <w:szCs w:val="22"/>
        </w:rPr>
        <w:t xml:space="preserve">will have an effect on all individuals/entities </w:t>
      </w:r>
      <w:r w:rsidR="000D6D92">
        <w:rPr>
          <w:rFonts w:ascii="Arial" w:hAnsi="Arial" w:cs="Arial"/>
          <w:sz w:val="22"/>
          <w:szCs w:val="22"/>
        </w:rPr>
        <w:t>associated</w:t>
      </w:r>
      <w:r w:rsidR="00F83207">
        <w:rPr>
          <w:rFonts w:ascii="Arial" w:hAnsi="Arial" w:cs="Arial"/>
          <w:sz w:val="22"/>
          <w:szCs w:val="22"/>
        </w:rPr>
        <w:t xml:space="preserve"> with the project </w:t>
      </w:r>
      <w:r w:rsidR="00EF082B" w:rsidRPr="0001331D">
        <w:rPr>
          <w:rFonts w:ascii="Arial" w:hAnsi="Arial" w:cs="Arial"/>
          <w:sz w:val="22"/>
          <w:szCs w:val="22"/>
        </w:rPr>
        <w:t>and manag</w:t>
      </w:r>
      <w:r w:rsidR="00F83207">
        <w:rPr>
          <w:rFonts w:ascii="Arial" w:hAnsi="Arial" w:cs="Arial"/>
          <w:sz w:val="22"/>
          <w:szCs w:val="22"/>
        </w:rPr>
        <w:t>ement team on each side of the T</w:t>
      </w:r>
      <w:r w:rsidR="00EF082B" w:rsidRPr="0001331D">
        <w:rPr>
          <w:rFonts w:ascii="Arial" w:hAnsi="Arial" w:cs="Arial"/>
          <w:sz w:val="22"/>
          <w:szCs w:val="22"/>
        </w:rPr>
        <w:t xml:space="preserve">ransfer that submit </w:t>
      </w:r>
      <w:r w:rsidR="00B36050">
        <w:rPr>
          <w:rFonts w:ascii="Arial" w:hAnsi="Arial" w:cs="Arial"/>
          <w:sz w:val="22"/>
          <w:szCs w:val="22"/>
        </w:rPr>
        <w:t>A</w:t>
      </w:r>
      <w:r w:rsidR="00EF082B" w:rsidRPr="0001331D">
        <w:rPr>
          <w:rFonts w:ascii="Arial" w:hAnsi="Arial" w:cs="Arial"/>
          <w:sz w:val="22"/>
          <w:szCs w:val="22"/>
        </w:rPr>
        <w:t>pplications</w:t>
      </w:r>
      <w:r w:rsidR="00F83207">
        <w:rPr>
          <w:rFonts w:ascii="Arial" w:hAnsi="Arial" w:cs="Arial"/>
          <w:sz w:val="22"/>
          <w:szCs w:val="22"/>
        </w:rPr>
        <w:t xml:space="preserve"> in future </w:t>
      </w:r>
      <w:r w:rsidR="00BD7596">
        <w:rPr>
          <w:rFonts w:ascii="Arial" w:hAnsi="Arial" w:cs="Arial"/>
          <w:sz w:val="22"/>
          <w:szCs w:val="22"/>
        </w:rPr>
        <w:t>HTC</w:t>
      </w:r>
      <w:r w:rsidR="00F83207">
        <w:rPr>
          <w:rFonts w:ascii="Arial" w:hAnsi="Arial" w:cs="Arial"/>
          <w:sz w:val="22"/>
          <w:szCs w:val="22"/>
        </w:rPr>
        <w:t xml:space="preserve"> funding </w:t>
      </w:r>
      <w:r w:rsidR="00EF082B" w:rsidRPr="0001331D">
        <w:rPr>
          <w:rFonts w:ascii="Arial" w:hAnsi="Arial" w:cs="Arial"/>
          <w:sz w:val="22"/>
          <w:szCs w:val="22"/>
        </w:rPr>
        <w:t xml:space="preserve">rounds. </w:t>
      </w:r>
      <w:r w:rsidR="00865177">
        <w:rPr>
          <w:rFonts w:ascii="Arial" w:hAnsi="Arial" w:cs="Arial"/>
          <w:sz w:val="22"/>
          <w:szCs w:val="22"/>
        </w:rPr>
        <w:t xml:space="preserve"> </w:t>
      </w:r>
      <w:r w:rsidR="00EF082B" w:rsidRPr="0001331D">
        <w:rPr>
          <w:rFonts w:ascii="Arial" w:hAnsi="Arial" w:cs="Arial"/>
          <w:sz w:val="22"/>
          <w:szCs w:val="22"/>
        </w:rPr>
        <w:t xml:space="preserve">These entities may be </w:t>
      </w:r>
      <w:r w:rsidR="000D6D92">
        <w:rPr>
          <w:rFonts w:ascii="Arial" w:hAnsi="Arial" w:cs="Arial"/>
          <w:sz w:val="22"/>
          <w:szCs w:val="22"/>
        </w:rPr>
        <w:t>assessed</w:t>
      </w:r>
      <w:r w:rsidR="00F83207">
        <w:rPr>
          <w:rFonts w:ascii="Arial" w:hAnsi="Arial" w:cs="Arial"/>
          <w:sz w:val="22"/>
          <w:szCs w:val="22"/>
        </w:rPr>
        <w:t xml:space="preserve"> the following negative points</w:t>
      </w:r>
      <w:r w:rsidR="00EF082B" w:rsidRPr="0001331D">
        <w:rPr>
          <w:rFonts w:ascii="Arial" w:hAnsi="Arial" w:cs="Arial"/>
          <w:sz w:val="22"/>
          <w:szCs w:val="22"/>
        </w:rPr>
        <w:t>:</w:t>
      </w:r>
    </w:p>
    <w:p w:rsidR="00EF082B" w:rsidRPr="0001331D" w:rsidRDefault="00EF082B" w:rsidP="00B36050">
      <w:pPr>
        <w:jc w:val="both"/>
        <w:rPr>
          <w:rFonts w:ascii="Arial" w:hAnsi="Arial" w:cs="Arial"/>
          <w:sz w:val="22"/>
          <w:szCs w:val="22"/>
        </w:rPr>
      </w:pPr>
    </w:p>
    <w:p w:rsidR="00EF082B" w:rsidRPr="0001331D" w:rsidRDefault="00C62F34" w:rsidP="000157BB">
      <w:pPr>
        <w:ind w:left="1440"/>
        <w:rPr>
          <w:rFonts w:ascii="Arial" w:hAnsi="Arial" w:cs="Arial"/>
          <w:sz w:val="22"/>
          <w:szCs w:val="22"/>
        </w:rPr>
      </w:pPr>
      <w:r w:rsidRPr="00F83207">
        <w:rPr>
          <w:rFonts w:ascii="Arial" w:hAnsi="Arial" w:cs="Arial"/>
          <w:sz w:val="22"/>
          <w:szCs w:val="22"/>
          <w:u w:val="single"/>
        </w:rPr>
        <w:t>For Minneapolis projects</w:t>
      </w:r>
      <w:r>
        <w:rPr>
          <w:rFonts w:ascii="Arial" w:hAnsi="Arial" w:cs="Arial"/>
          <w:sz w:val="22"/>
          <w:szCs w:val="22"/>
        </w:rPr>
        <w:t>:  f</w:t>
      </w:r>
      <w:r w:rsidR="00EF082B" w:rsidRPr="0001331D">
        <w:rPr>
          <w:rFonts w:ascii="Arial" w:hAnsi="Arial" w:cs="Arial"/>
          <w:sz w:val="22"/>
          <w:szCs w:val="22"/>
        </w:rPr>
        <w:t>or four</w:t>
      </w:r>
      <w:r w:rsidR="0059479C">
        <w:rPr>
          <w:rFonts w:ascii="Arial" w:hAnsi="Arial" w:cs="Arial"/>
          <w:sz w:val="22"/>
          <w:szCs w:val="22"/>
        </w:rPr>
        <w:t xml:space="preserve"> (4)</w:t>
      </w:r>
      <w:r w:rsidR="00EF082B" w:rsidRPr="0001331D">
        <w:rPr>
          <w:rFonts w:ascii="Arial" w:hAnsi="Arial" w:cs="Arial"/>
          <w:sz w:val="22"/>
          <w:szCs w:val="22"/>
        </w:rPr>
        <w:t xml:space="preserve"> funding rounds from the date CPED discovers an unapproved </w:t>
      </w:r>
      <w:r w:rsidR="00F83207">
        <w:rPr>
          <w:rFonts w:ascii="Arial" w:hAnsi="Arial" w:cs="Arial"/>
          <w:sz w:val="22"/>
          <w:szCs w:val="22"/>
        </w:rPr>
        <w:t>Transfer</w:t>
      </w:r>
      <w:r w:rsidR="00EF082B" w:rsidRPr="0001331D">
        <w:rPr>
          <w:rFonts w:ascii="Arial" w:hAnsi="Arial" w:cs="Arial"/>
          <w:sz w:val="22"/>
          <w:szCs w:val="22"/>
        </w:rPr>
        <w:t>:</w:t>
      </w:r>
    </w:p>
    <w:p w:rsidR="00EF082B" w:rsidRPr="0001331D" w:rsidRDefault="00EF082B" w:rsidP="008C08D3">
      <w:pPr>
        <w:rPr>
          <w:rFonts w:ascii="Arial" w:hAnsi="Arial" w:cs="Arial"/>
          <w:sz w:val="22"/>
          <w:szCs w:val="22"/>
        </w:rPr>
      </w:pPr>
    </w:p>
    <w:p w:rsidR="00EF082B" w:rsidRDefault="00713001" w:rsidP="00713001">
      <w:pPr>
        <w:ind w:left="1440"/>
        <w:rPr>
          <w:rFonts w:ascii="Arial" w:hAnsi="Arial" w:cs="Arial"/>
          <w:sz w:val="22"/>
          <w:szCs w:val="22"/>
        </w:rPr>
      </w:pPr>
      <w:r>
        <w:rPr>
          <w:rFonts w:ascii="Arial" w:hAnsi="Arial" w:cs="Arial"/>
          <w:sz w:val="22"/>
          <w:szCs w:val="22"/>
        </w:rPr>
        <w:t>(1)</w:t>
      </w:r>
      <w:r>
        <w:rPr>
          <w:rFonts w:ascii="Arial" w:hAnsi="Arial" w:cs="Arial"/>
          <w:sz w:val="22"/>
          <w:szCs w:val="22"/>
        </w:rPr>
        <w:tab/>
      </w:r>
      <w:r w:rsidR="00F83207">
        <w:rPr>
          <w:rFonts w:ascii="Arial" w:hAnsi="Arial" w:cs="Arial"/>
          <w:sz w:val="22"/>
          <w:szCs w:val="22"/>
        </w:rPr>
        <w:t>First Transfer (</w:t>
      </w:r>
      <w:r w:rsidR="00EF082B" w:rsidRPr="0001331D">
        <w:rPr>
          <w:rFonts w:ascii="Arial" w:hAnsi="Arial" w:cs="Arial"/>
          <w:sz w:val="22"/>
          <w:szCs w:val="22"/>
        </w:rPr>
        <w:t xml:space="preserve">3 </w:t>
      </w:r>
      <w:r w:rsidR="00F83207">
        <w:rPr>
          <w:rFonts w:ascii="Arial" w:hAnsi="Arial" w:cs="Arial"/>
          <w:sz w:val="22"/>
          <w:szCs w:val="22"/>
        </w:rPr>
        <w:t xml:space="preserve">negative </w:t>
      </w:r>
      <w:r w:rsidR="00EF082B" w:rsidRPr="0001331D">
        <w:rPr>
          <w:rFonts w:ascii="Arial" w:hAnsi="Arial" w:cs="Arial"/>
          <w:sz w:val="22"/>
          <w:szCs w:val="22"/>
        </w:rPr>
        <w:t xml:space="preserve">points </w:t>
      </w:r>
      <w:r w:rsidR="00F83207">
        <w:rPr>
          <w:rFonts w:ascii="Arial" w:hAnsi="Arial" w:cs="Arial"/>
          <w:sz w:val="22"/>
          <w:szCs w:val="22"/>
        </w:rPr>
        <w:t>will</w:t>
      </w:r>
      <w:r w:rsidR="00A91021">
        <w:rPr>
          <w:rFonts w:ascii="Arial" w:hAnsi="Arial" w:cs="Arial"/>
          <w:sz w:val="22"/>
          <w:szCs w:val="22"/>
        </w:rPr>
        <w:t xml:space="preserve"> </w:t>
      </w:r>
      <w:r w:rsidR="00212609">
        <w:rPr>
          <w:rFonts w:ascii="Arial" w:hAnsi="Arial" w:cs="Arial"/>
          <w:sz w:val="22"/>
          <w:szCs w:val="22"/>
        </w:rPr>
        <w:t xml:space="preserve">be </w:t>
      </w:r>
      <w:r w:rsidR="00A91021">
        <w:rPr>
          <w:rFonts w:ascii="Arial" w:hAnsi="Arial" w:cs="Arial"/>
          <w:sz w:val="22"/>
          <w:szCs w:val="22"/>
        </w:rPr>
        <w:t>assess</w:t>
      </w:r>
      <w:r w:rsidR="00F153CA">
        <w:rPr>
          <w:rFonts w:ascii="Arial" w:hAnsi="Arial" w:cs="Arial"/>
          <w:sz w:val="22"/>
          <w:szCs w:val="22"/>
        </w:rPr>
        <w:t xml:space="preserve">ed </w:t>
      </w:r>
      <w:r w:rsidR="00EF082B" w:rsidRPr="0001331D">
        <w:rPr>
          <w:rFonts w:ascii="Arial" w:hAnsi="Arial" w:cs="Arial"/>
          <w:sz w:val="22"/>
          <w:szCs w:val="22"/>
        </w:rPr>
        <w:t xml:space="preserve">on each </w:t>
      </w:r>
      <w:r w:rsidR="000D6D92">
        <w:rPr>
          <w:rFonts w:ascii="Arial" w:hAnsi="Arial" w:cs="Arial"/>
          <w:sz w:val="22"/>
          <w:szCs w:val="22"/>
        </w:rPr>
        <w:t>subsequent</w:t>
      </w:r>
      <w:r w:rsidR="00A91021">
        <w:rPr>
          <w:rFonts w:ascii="Arial" w:hAnsi="Arial" w:cs="Arial"/>
          <w:sz w:val="22"/>
          <w:szCs w:val="22"/>
        </w:rPr>
        <w:t xml:space="preserve">     </w:t>
      </w:r>
      <w:r w:rsidR="00212609">
        <w:rPr>
          <w:rFonts w:ascii="Arial" w:hAnsi="Arial" w:cs="Arial"/>
          <w:sz w:val="22"/>
          <w:szCs w:val="22"/>
        </w:rPr>
        <w:t xml:space="preserve"> </w:t>
      </w:r>
      <w:r w:rsidR="0096684B">
        <w:rPr>
          <w:rFonts w:ascii="Arial" w:hAnsi="Arial" w:cs="Arial"/>
          <w:sz w:val="22"/>
          <w:szCs w:val="22"/>
        </w:rPr>
        <w:t xml:space="preserve">           </w:t>
      </w:r>
      <w:r w:rsidR="00602D0D">
        <w:rPr>
          <w:rFonts w:ascii="Arial" w:hAnsi="Arial" w:cs="Arial"/>
          <w:sz w:val="22"/>
          <w:szCs w:val="22"/>
        </w:rPr>
        <w:t>A</w:t>
      </w:r>
      <w:r w:rsidR="00EF082B" w:rsidRPr="0001331D">
        <w:rPr>
          <w:rFonts w:ascii="Arial" w:hAnsi="Arial" w:cs="Arial"/>
          <w:sz w:val="22"/>
          <w:szCs w:val="22"/>
        </w:rPr>
        <w:t>pplication submittal)</w:t>
      </w:r>
    </w:p>
    <w:p w:rsidR="00713001" w:rsidRPr="0001331D" w:rsidRDefault="00713001" w:rsidP="00713001">
      <w:pPr>
        <w:ind w:left="1440"/>
        <w:rPr>
          <w:rFonts w:ascii="Arial" w:hAnsi="Arial" w:cs="Arial"/>
          <w:sz w:val="22"/>
          <w:szCs w:val="22"/>
        </w:rPr>
      </w:pPr>
    </w:p>
    <w:p w:rsidR="00F31CA2" w:rsidRPr="0001331D" w:rsidRDefault="00713001" w:rsidP="0096684B">
      <w:pPr>
        <w:ind w:left="2160" w:hanging="720"/>
        <w:rPr>
          <w:rFonts w:ascii="Arial" w:hAnsi="Arial" w:cs="Arial"/>
          <w:sz w:val="22"/>
          <w:szCs w:val="22"/>
        </w:rPr>
      </w:pPr>
      <w:r>
        <w:rPr>
          <w:rFonts w:ascii="Arial" w:hAnsi="Arial" w:cs="Arial"/>
          <w:sz w:val="22"/>
          <w:szCs w:val="22"/>
        </w:rPr>
        <w:t>(2)</w:t>
      </w:r>
      <w:r>
        <w:rPr>
          <w:rFonts w:ascii="Arial" w:hAnsi="Arial" w:cs="Arial"/>
          <w:sz w:val="22"/>
          <w:szCs w:val="22"/>
        </w:rPr>
        <w:tab/>
      </w:r>
      <w:r w:rsidR="00F31CA2" w:rsidRPr="0001331D">
        <w:rPr>
          <w:rFonts w:ascii="Arial" w:hAnsi="Arial" w:cs="Arial"/>
          <w:sz w:val="22"/>
          <w:szCs w:val="22"/>
        </w:rPr>
        <w:t>Two o</w:t>
      </w:r>
      <w:r w:rsidR="00F153CA">
        <w:rPr>
          <w:rFonts w:ascii="Arial" w:hAnsi="Arial" w:cs="Arial"/>
          <w:sz w:val="22"/>
          <w:szCs w:val="22"/>
        </w:rPr>
        <w:t xml:space="preserve">r more </w:t>
      </w:r>
      <w:r w:rsidR="00B01D91">
        <w:rPr>
          <w:rFonts w:ascii="Arial" w:hAnsi="Arial" w:cs="Arial"/>
          <w:sz w:val="22"/>
          <w:szCs w:val="22"/>
        </w:rPr>
        <w:t>T</w:t>
      </w:r>
      <w:r w:rsidR="00EF082B" w:rsidRPr="0001331D">
        <w:rPr>
          <w:rFonts w:ascii="Arial" w:hAnsi="Arial" w:cs="Arial"/>
          <w:sz w:val="22"/>
          <w:szCs w:val="22"/>
        </w:rPr>
        <w:t>ransfer</w:t>
      </w:r>
      <w:r w:rsidR="00F153CA">
        <w:rPr>
          <w:rFonts w:ascii="Arial" w:hAnsi="Arial" w:cs="Arial"/>
          <w:sz w:val="22"/>
          <w:szCs w:val="22"/>
        </w:rPr>
        <w:t>s (</w:t>
      </w:r>
      <w:r w:rsidR="00F31CA2" w:rsidRPr="0001331D">
        <w:rPr>
          <w:rFonts w:ascii="Arial" w:hAnsi="Arial" w:cs="Arial"/>
          <w:sz w:val="22"/>
          <w:szCs w:val="22"/>
        </w:rPr>
        <w:t xml:space="preserve">15 </w:t>
      </w:r>
      <w:r w:rsidR="00F153CA">
        <w:rPr>
          <w:rFonts w:ascii="Arial" w:hAnsi="Arial" w:cs="Arial"/>
          <w:sz w:val="22"/>
          <w:szCs w:val="22"/>
        </w:rPr>
        <w:t xml:space="preserve">negative </w:t>
      </w:r>
      <w:r w:rsidR="00F31CA2" w:rsidRPr="0001331D">
        <w:rPr>
          <w:rFonts w:ascii="Arial" w:hAnsi="Arial" w:cs="Arial"/>
          <w:sz w:val="22"/>
          <w:szCs w:val="22"/>
        </w:rPr>
        <w:t xml:space="preserve">points </w:t>
      </w:r>
      <w:r w:rsidR="00F153CA">
        <w:rPr>
          <w:rFonts w:ascii="Arial" w:hAnsi="Arial" w:cs="Arial"/>
          <w:sz w:val="22"/>
          <w:szCs w:val="22"/>
        </w:rPr>
        <w:t xml:space="preserve">will be assessed </w:t>
      </w:r>
      <w:r w:rsidR="00F31CA2" w:rsidRPr="0001331D">
        <w:rPr>
          <w:rFonts w:ascii="Arial" w:hAnsi="Arial" w:cs="Arial"/>
          <w:sz w:val="22"/>
          <w:szCs w:val="22"/>
        </w:rPr>
        <w:t xml:space="preserve">on each </w:t>
      </w:r>
      <w:r w:rsidR="0096684B">
        <w:rPr>
          <w:rFonts w:ascii="Arial" w:hAnsi="Arial" w:cs="Arial"/>
          <w:sz w:val="22"/>
          <w:szCs w:val="22"/>
        </w:rPr>
        <w:t xml:space="preserve">       </w:t>
      </w:r>
      <w:r>
        <w:rPr>
          <w:rFonts w:ascii="Arial" w:hAnsi="Arial" w:cs="Arial"/>
          <w:sz w:val="22"/>
          <w:szCs w:val="22"/>
        </w:rPr>
        <w:t>s</w:t>
      </w:r>
      <w:r w:rsidR="000D6D92">
        <w:rPr>
          <w:rFonts w:ascii="Arial" w:hAnsi="Arial" w:cs="Arial"/>
          <w:sz w:val="22"/>
          <w:szCs w:val="22"/>
        </w:rPr>
        <w:t>ubsequent</w:t>
      </w:r>
      <w:r w:rsidR="00A91021">
        <w:rPr>
          <w:rFonts w:ascii="Arial" w:hAnsi="Arial" w:cs="Arial"/>
          <w:sz w:val="22"/>
          <w:szCs w:val="22"/>
        </w:rPr>
        <w:t xml:space="preserve"> </w:t>
      </w:r>
      <w:r w:rsidR="00602D0D">
        <w:rPr>
          <w:rFonts w:ascii="Arial" w:hAnsi="Arial" w:cs="Arial"/>
          <w:sz w:val="22"/>
          <w:szCs w:val="22"/>
        </w:rPr>
        <w:t>A</w:t>
      </w:r>
      <w:r w:rsidR="00F31CA2" w:rsidRPr="0001331D">
        <w:rPr>
          <w:rFonts w:ascii="Arial" w:hAnsi="Arial" w:cs="Arial"/>
          <w:sz w:val="22"/>
          <w:szCs w:val="22"/>
        </w:rPr>
        <w:t>pplication submittal)</w:t>
      </w:r>
    </w:p>
    <w:p w:rsidR="00F31CA2" w:rsidRPr="0001331D" w:rsidRDefault="00F31CA2" w:rsidP="00F31CA2">
      <w:pPr>
        <w:rPr>
          <w:rFonts w:ascii="Arial" w:hAnsi="Arial" w:cs="Arial"/>
          <w:sz w:val="22"/>
          <w:szCs w:val="22"/>
        </w:rPr>
      </w:pPr>
    </w:p>
    <w:p w:rsidR="00F31CA2" w:rsidRDefault="00F31CA2" w:rsidP="00225734">
      <w:pPr>
        <w:ind w:left="1440"/>
        <w:jc w:val="both"/>
        <w:rPr>
          <w:rFonts w:ascii="Arial" w:hAnsi="Arial" w:cs="Arial"/>
          <w:sz w:val="22"/>
          <w:szCs w:val="22"/>
        </w:rPr>
      </w:pPr>
      <w:r w:rsidRPr="0001331D">
        <w:rPr>
          <w:rFonts w:ascii="Arial" w:hAnsi="Arial" w:cs="Arial"/>
          <w:sz w:val="22"/>
          <w:szCs w:val="22"/>
        </w:rPr>
        <w:t>In addition, if CPED</w:t>
      </w:r>
      <w:r w:rsidR="0001331D" w:rsidRPr="0001331D">
        <w:rPr>
          <w:rFonts w:ascii="Arial" w:hAnsi="Arial" w:cs="Arial"/>
          <w:sz w:val="22"/>
          <w:szCs w:val="22"/>
        </w:rPr>
        <w:t xml:space="preserve"> </w:t>
      </w:r>
      <w:r w:rsidRPr="0001331D">
        <w:rPr>
          <w:rFonts w:ascii="Arial" w:hAnsi="Arial" w:cs="Arial"/>
          <w:sz w:val="22"/>
          <w:szCs w:val="22"/>
        </w:rPr>
        <w:t>be</w:t>
      </w:r>
      <w:r w:rsidR="00F153CA">
        <w:rPr>
          <w:rFonts w:ascii="Arial" w:hAnsi="Arial" w:cs="Arial"/>
          <w:sz w:val="22"/>
          <w:szCs w:val="22"/>
        </w:rPr>
        <w:t xml:space="preserve">comes aware of an unapproved Transfer, </w:t>
      </w:r>
      <w:r w:rsidRPr="0001331D">
        <w:rPr>
          <w:rFonts w:ascii="Arial" w:hAnsi="Arial" w:cs="Arial"/>
          <w:sz w:val="22"/>
          <w:szCs w:val="22"/>
        </w:rPr>
        <w:t>CPED reserves the right</w:t>
      </w:r>
      <w:r w:rsidR="0001331D" w:rsidRPr="0001331D">
        <w:rPr>
          <w:rFonts w:ascii="Arial" w:hAnsi="Arial" w:cs="Arial"/>
          <w:sz w:val="22"/>
          <w:szCs w:val="22"/>
        </w:rPr>
        <w:t xml:space="preserve"> to determine th</w:t>
      </w:r>
      <w:r w:rsidR="00F153CA">
        <w:rPr>
          <w:rFonts w:ascii="Arial" w:hAnsi="Arial" w:cs="Arial"/>
          <w:sz w:val="22"/>
          <w:szCs w:val="22"/>
        </w:rPr>
        <w:t>at all parties involved in the T</w:t>
      </w:r>
      <w:r w:rsidR="0001331D" w:rsidRPr="0001331D">
        <w:rPr>
          <w:rFonts w:ascii="Arial" w:hAnsi="Arial" w:cs="Arial"/>
          <w:sz w:val="22"/>
          <w:szCs w:val="22"/>
        </w:rPr>
        <w:t xml:space="preserve">ransfer will not be </w:t>
      </w:r>
      <w:r w:rsidRPr="0001331D">
        <w:rPr>
          <w:rFonts w:ascii="Arial" w:hAnsi="Arial" w:cs="Arial"/>
          <w:sz w:val="22"/>
          <w:szCs w:val="22"/>
        </w:rPr>
        <w:t xml:space="preserve">eligible </w:t>
      </w:r>
      <w:r w:rsidR="00865177">
        <w:rPr>
          <w:rFonts w:ascii="Arial" w:hAnsi="Arial" w:cs="Arial"/>
          <w:sz w:val="22"/>
          <w:szCs w:val="22"/>
        </w:rPr>
        <w:t>t</w:t>
      </w:r>
      <w:r w:rsidRPr="0001331D">
        <w:rPr>
          <w:rFonts w:ascii="Arial" w:hAnsi="Arial" w:cs="Arial"/>
          <w:sz w:val="22"/>
          <w:szCs w:val="22"/>
        </w:rPr>
        <w:t>o participat</w:t>
      </w:r>
      <w:r w:rsidR="00865177">
        <w:rPr>
          <w:rFonts w:ascii="Arial" w:hAnsi="Arial" w:cs="Arial"/>
          <w:sz w:val="22"/>
          <w:szCs w:val="22"/>
        </w:rPr>
        <w:t>e</w:t>
      </w:r>
      <w:r w:rsidRPr="0001331D">
        <w:rPr>
          <w:rFonts w:ascii="Arial" w:hAnsi="Arial" w:cs="Arial"/>
          <w:sz w:val="22"/>
          <w:szCs w:val="22"/>
        </w:rPr>
        <w:t xml:space="preserve"> in CPED</w:t>
      </w:r>
      <w:r w:rsidR="00C62F34">
        <w:rPr>
          <w:rFonts w:ascii="Arial" w:hAnsi="Arial" w:cs="Arial"/>
          <w:sz w:val="22"/>
          <w:szCs w:val="22"/>
        </w:rPr>
        <w:t>’s</w:t>
      </w:r>
      <w:r w:rsidR="00212609">
        <w:rPr>
          <w:rFonts w:ascii="Arial" w:hAnsi="Arial" w:cs="Arial"/>
          <w:sz w:val="22"/>
          <w:szCs w:val="22"/>
        </w:rPr>
        <w:t xml:space="preserve"> </w:t>
      </w:r>
      <w:r w:rsidR="0059479C">
        <w:rPr>
          <w:rFonts w:ascii="Arial" w:hAnsi="Arial" w:cs="Arial"/>
          <w:sz w:val="22"/>
          <w:szCs w:val="22"/>
        </w:rPr>
        <w:t xml:space="preserve">HTC </w:t>
      </w:r>
      <w:r w:rsidR="00F153CA">
        <w:rPr>
          <w:rFonts w:ascii="Arial" w:hAnsi="Arial" w:cs="Arial"/>
          <w:sz w:val="22"/>
          <w:szCs w:val="22"/>
        </w:rPr>
        <w:t>P</w:t>
      </w:r>
      <w:r w:rsidR="0001331D" w:rsidRPr="0001331D">
        <w:rPr>
          <w:rFonts w:ascii="Arial" w:hAnsi="Arial" w:cs="Arial"/>
          <w:sz w:val="22"/>
          <w:szCs w:val="22"/>
        </w:rPr>
        <w:t>rogram</w:t>
      </w:r>
      <w:r w:rsidRPr="0001331D">
        <w:rPr>
          <w:rFonts w:ascii="Arial" w:hAnsi="Arial" w:cs="Arial"/>
          <w:sz w:val="22"/>
          <w:szCs w:val="22"/>
        </w:rPr>
        <w:t xml:space="preserve"> for a period of </w:t>
      </w:r>
      <w:r w:rsidR="00F153CA">
        <w:rPr>
          <w:rFonts w:ascii="Arial" w:hAnsi="Arial" w:cs="Arial"/>
          <w:sz w:val="22"/>
          <w:szCs w:val="22"/>
        </w:rPr>
        <w:t>ten (</w:t>
      </w:r>
      <w:r w:rsidRPr="0001331D">
        <w:rPr>
          <w:rFonts w:ascii="Arial" w:hAnsi="Arial" w:cs="Arial"/>
          <w:sz w:val="22"/>
          <w:szCs w:val="22"/>
        </w:rPr>
        <w:t>10</w:t>
      </w:r>
      <w:r w:rsidR="00F153CA">
        <w:rPr>
          <w:rFonts w:ascii="Arial" w:hAnsi="Arial" w:cs="Arial"/>
          <w:sz w:val="22"/>
          <w:szCs w:val="22"/>
        </w:rPr>
        <w:t>)</w:t>
      </w:r>
      <w:r w:rsidRPr="0001331D">
        <w:rPr>
          <w:rFonts w:ascii="Arial" w:hAnsi="Arial" w:cs="Arial"/>
          <w:sz w:val="22"/>
          <w:szCs w:val="22"/>
        </w:rPr>
        <w:t xml:space="preserve"> years</w:t>
      </w:r>
      <w:r w:rsidR="00B01D91">
        <w:rPr>
          <w:rFonts w:ascii="Arial" w:hAnsi="Arial" w:cs="Arial"/>
          <w:sz w:val="22"/>
          <w:szCs w:val="22"/>
        </w:rPr>
        <w:t xml:space="preserve"> from the date of discovery.</w:t>
      </w:r>
      <w:r w:rsidRPr="0001331D">
        <w:rPr>
          <w:rFonts w:ascii="Arial" w:hAnsi="Arial" w:cs="Arial"/>
          <w:sz w:val="22"/>
          <w:szCs w:val="22"/>
        </w:rPr>
        <w:t xml:space="preserve"> </w:t>
      </w:r>
    </w:p>
    <w:p w:rsidR="00895FA1" w:rsidRDefault="00895FA1" w:rsidP="00225734">
      <w:pPr>
        <w:ind w:left="1440"/>
        <w:jc w:val="both"/>
        <w:rPr>
          <w:rFonts w:ascii="Arial" w:hAnsi="Arial" w:cs="Arial"/>
          <w:sz w:val="22"/>
          <w:szCs w:val="22"/>
        </w:rPr>
      </w:pPr>
    </w:p>
    <w:p w:rsidR="00895FA1" w:rsidRPr="0001331D" w:rsidRDefault="00895FA1" w:rsidP="00225734">
      <w:pPr>
        <w:ind w:left="1440"/>
        <w:jc w:val="both"/>
        <w:rPr>
          <w:rFonts w:ascii="Arial" w:hAnsi="Arial" w:cs="Arial"/>
          <w:sz w:val="22"/>
          <w:szCs w:val="22"/>
        </w:rPr>
      </w:pPr>
      <w:r w:rsidRPr="00F83207">
        <w:rPr>
          <w:rFonts w:ascii="Arial" w:hAnsi="Arial" w:cs="Arial"/>
          <w:sz w:val="22"/>
          <w:szCs w:val="22"/>
          <w:u w:val="single"/>
        </w:rPr>
        <w:t>For Saint Paul projects</w:t>
      </w:r>
      <w:r w:rsidRPr="00461091">
        <w:rPr>
          <w:rFonts w:ascii="Arial" w:hAnsi="Arial" w:cs="Arial"/>
          <w:sz w:val="22"/>
          <w:szCs w:val="22"/>
        </w:rPr>
        <w:t xml:space="preserve">: </w:t>
      </w:r>
      <w:r w:rsidRPr="00461091">
        <w:rPr>
          <w:rFonts w:ascii="Arial" w:hAnsi="Arial"/>
          <w:sz w:val="22"/>
        </w:rPr>
        <w:t xml:space="preserve">any </w:t>
      </w:r>
      <w:r w:rsidR="00F153CA">
        <w:rPr>
          <w:rFonts w:ascii="Arial" w:hAnsi="Arial"/>
          <w:sz w:val="22"/>
        </w:rPr>
        <w:t>unapproved T</w:t>
      </w:r>
      <w:r w:rsidRPr="00461091">
        <w:rPr>
          <w:rFonts w:ascii="Arial" w:hAnsi="Arial"/>
          <w:sz w:val="22"/>
        </w:rPr>
        <w:t>ransfer after the placed in service date</w:t>
      </w:r>
      <w:r w:rsidR="00865177">
        <w:rPr>
          <w:rFonts w:ascii="Arial" w:hAnsi="Arial"/>
          <w:sz w:val="22"/>
        </w:rPr>
        <w:t xml:space="preserve"> of a project</w:t>
      </w:r>
      <w:r w:rsidRPr="00461091">
        <w:rPr>
          <w:rFonts w:ascii="Arial" w:hAnsi="Arial"/>
          <w:sz w:val="22"/>
        </w:rPr>
        <w:t xml:space="preserve"> is subject to HRA </w:t>
      </w:r>
      <w:r w:rsidR="00F153CA">
        <w:rPr>
          <w:rFonts w:ascii="Arial" w:hAnsi="Arial"/>
          <w:sz w:val="22"/>
        </w:rPr>
        <w:t xml:space="preserve">review and approval. Upon notice </w:t>
      </w:r>
      <w:r w:rsidR="00203C99">
        <w:rPr>
          <w:rFonts w:ascii="Arial" w:hAnsi="Arial"/>
          <w:sz w:val="22"/>
        </w:rPr>
        <w:t xml:space="preserve">of an </w:t>
      </w:r>
      <w:r w:rsidR="00F153CA">
        <w:rPr>
          <w:rFonts w:ascii="Arial" w:hAnsi="Arial"/>
          <w:sz w:val="22"/>
        </w:rPr>
        <w:t>unapproved Transfer,</w:t>
      </w:r>
      <w:r w:rsidRPr="00461091">
        <w:rPr>
          <w:rFonts w:ascii="Arial" w:hAnsi="Arial"/>
          <w:sz w:val="22"/>
        </w:rPr>
        <w:t xml:space="preserve"> HRA reserves the right to determine that all parties involved with the </w:t>
      </w:r>
      <w:r w:rsidR="00F153CA">
        <w:rPr>
          <w:rFonts w:ascii="Arial" w:hAnsi="Arial"/>
          <w:sz w:val="22"/>
        </w:rPr>
        <w:t>T</w:t>
      </w:r>
      <w:r w:rsidRPr="00461091">
        <w:rPr>
          <w:rFonts w:ascii="Arial" w:hAnsi="Arial"/>
          <w:sz w:val="22"/>
        </w:rPr>
        <w:t xml:space="preserve">ransfer will not be eligible </w:t>
      </w:r>
      <w:r w:rsidR="00865177">
        <w:rPr>
          <w:rFonts w:ascii="Arial" w:hAnsi="Arial"/>
          <w:sz w:val="22"/>
        </w:rPr>
        <w:t>t</w:t>
      </w:r>
      <w:r w:rsidRPr="00461091">
        <w:rPr>
          <w:rFonts w:ascii="Arial" w:hAnsi="Arial"/>
          <w:sz w:val="22"/>
        </w:rPr>
        <w:t>o participat</w:t>
      </w:r>
      <w:r w:rsidR="00865177">
        <w:rPr>
          <w:rFonts w:ascii="Arial" w:hAnsi="Arial"/>
          <w:sz w:val="22"/>
        </w:rPr>
        <w:t>e</w:t>
      </w:r>
      <w:r w:rsidRPr="00461091">
        <w:rPr>
          <w:rFonts w:ascii="Arial" w:hAnsi="Arial"/>
          <w:sz w:val="22"/>
        </w:rPr>
        <w:t xml:space="preserve"> in </w:t>
      </w:r>
      <w:r w:rsidR="00865177">
        <w:rPr>
          <w:rFonts w:ascii="Arial" w:hAnsi="Arial"/>
          <w:sz w:val="22"/>
        </w:rPr>
        <w:t xml:space="preserve">HRA’s </w:t>
      </w:r>
      <w:r w:rsidR="00F153CA">
        <w:rPr>
          <w:rFonts w:ascii="Arial" w:hAnsi="Arial"/>
          <w:sz w:val="22"/>
        </w:rPr>
        <w:t xml:space="preserve">HTC </w:t>
      </w:r>
      <w:r w:rsidRPr="00461091">
        <w:rPr>
          <w:rFonts w:ascii="Arial" w:hAnsi="Arial"/>
          <w:sz w:val="22"/>
        </w:rPr>
        <w:t xml:space="preserve">Program for up to five </w:t>
      </w:r>
      <w:r w:rsidR="0059479C">
        <w:rPr>
          <w:rFonts w:ascii="Arial" w:hAnsi="Arial"/>
          <w:sz w:val="22"/>
        </w:rPr>
        <w:t xml:space="preserve">(5) </w:t>
      </w:r>
      <w:r w:rsidRPr="00461091">
        <w:rPr>
          <w:rFonts w:ascii="Arial" w:hAnsi="Arial"/>
          <w:sz w:val="22"/>
        </w:rPr>
        <w:t>years</w:t>
      </w:r>
      <w:r w:rsidR="00B01D91">
        <w:rPr>
          <w:rFonts w:ascii="Arial" w:hAnsi="Arial"/>
          <w:sz w:val="22"/>
        </w:rPr>
        <w:t xml:space="preserve"> </w:t>
      </w:r>
      <w:r w:rsidR="00B01D91">
        <w:rPr>
          <w:rFonts w:ascii="Arial" w:hAnsi="Arial" w:cs="Arial"/>
          <w:sz w:val="22"/>
          <w:szCs w:val="22"/>
        </w:rPr>
        <w:t>from the date of discovery.</w:t>
      </w:r>
    </w:p>
    <w:p w:rsidR="00F31CA2" w:rsidRDefault="00F31CA2" w:rsidP="00225734">
      <w:pPr>
        <w:ind w:left="1440"/>
        <w:jc w:val="both"/>
        <w:rPr>
          <w:rFonts w:ascii="Arial" w:hAnsi="Arial" w:cs="Arial"/>
          <w:color w:val="FF0000"/>
          <w:sz w:val="22"/>
          <w:szCs w:val="22"/>
        </w:rPr>
      </w:pPr>
    </w:p>
    <w:p w:rsidR="00F153CA" w:rsidRDefault="00F31CA2" w:rsidP="00865177">
      <w:pPr>
        <w:keepNext/>
        <w:widowControl/>
        <w:ind w:left="1440"/>
        <w:rPr>
          <w:rFonts w:ascii="Arial" w:hAnsi="Arial" w:cs="Arial"/>
          <w:b/>
          <w:sz w:val="22"/>
          <w:szCs w:val="22"/>
        </w:rPr>
      </w:pPr>
      <w:r w:rsidRPr="0001331D">
        <w:rPr>
          <w:rFonts w:ascii="Arial" w:hAnsi="Arial" w:cs="Arial"/>
          <w:b/>
          <w:sz w:val="22"/>
          <w:szCs w:val="22"/>
        </w:rPr>
        <w:t>Failure to Meet Requirements of Cost Containment Priority</w:t>
      </w:r>
      <w:r w:rsidR="002E30C5">
        <w:rPr>
          <w:rFonts w:ascii="Arial" w:hAnsi="Arial" w:cs="Arial"/>
          <w:b/>
          <w:sz w:val="22"/>
          <w:szCs w:val="22"/>
        </w:rPr>
        <w:t xml:space="preserve"> </w:t>
      </w:r>
    </w:p>
    <w:p w:rsidR="00406EEC" w:rsidRPr="0001331D" w:rsidRDefault="00406EEC" w:rsidP="00511AA2">
      <w:pPr>
        <w:ind w:left="1440"/>
        <w:rPr>
          <w:rFonts w:ascii="Arial" w:hAnsi="Arial" w:cs="Arial"/>
          <w:b/>
          <w:sz w:val="22"/>
          <w:szCs w:val="22"/>
        </w:rPr>
      </w:pPr>
    </w:p>
    <w:p w:rsidR="00F31CA2" w:rsidRDefault="00895FA1" w:rsidP="00225734">
      <w:pPr>
        <w:ind w:left="1440"/>
        <w:jc w:val="both"/>
        <w:rPr>
          <w:rFonts w:ascii="Arial" w:hAnsi="Arial" w:cs="Arial"/>
          <w:sz w:val="22"/>
          <w:szCs w:val="22"/>
        </w:rPr>
      </w:pPr>
      <w:r w:rsidRPr="00F153CA">
        <w:rPr>
          <w:rFonts w:ascii="Arial" w:hAnsi="Arial" w:cs="Arial"/>
          <w:sz w:val="22"/>
          <w:szCs w:val="22"/>
          <w:u w:val="single"/>
        </w:rPr>
        <w:t>For Minneapolis projects</w:t>
      </w:r>
      <w:r>
        <w:rPr>
          <w:rFonts w:ascii="Arial" w:hAnsi="Arial" w:cs="Arial"/>
          <w:sz w:val="22"/>
          <w:szCs w:val="22"/>
        </w:rPr>
        <w:t>: i</w:t>
      </w:r>
      <w:r w:rsidR="00B01D91">
        <w:rPr>
          <w:rFonts w:ascii="Arial" w:hAnsi="Arial" w:cs="Arial"/>
          <w:sz w:val="22"/>
          <w:szCs w:val="22"/>
        </w:rPr>
        <w:t xml:space="preserve">f a </w:t>
      </w:r>
      <w:r w:rsidR="0001331D" w:rsidRPr="0001331D">
        <w:rPr>
          <w:rFonts w:ascii="Arial" w:hAnsi="Arial" w:cs="Arial"/>
          <w:sz w:val="22"/>
          <w:szCs w:val="22"/>
        </w:rPr>
        <w:t>p</w:t>
      </w:r>
      <w:r w:rsidR="00B01D91">
        <w:rPr>
          <w:rFonts w:ascii="Arial" w:hAnsi="Arial" w:cs="Arial"/>
          <w:sz w:val="22"/>
          <w:szCs w:val="22"/>
        </w:rPr>
        <w:t>roject received</w:t>
      </w:r>
      <w:r w:rsidR="00F31CA2" w:rsidRPr="0001331D">
        <w:rPr>
          <w:rFonts w:ascii="Arial" w:hAnsi="Arial" w:cs="Arial"/>
          <w:sz w:val="22"/>
          <w:szCs w:val="22"/>
        </w:rPr>
        <w:t xml:space="preserve"> points </w:t>
      </w:r>
      <w:r w:rsidR="00203C99">
        <w:rPr>
          <w:rFonts w:ascii="Arial" w:hAnsi="Arial" w:cs="Arial"/>
          <w:sz w:val="22"/>
          <w:szCs w:val="22"/>
        </w:rPr>
        <w:t xml:space="preserve">for </w:t>
      </w:r>
      <w:r w:rsidR="00AD4460">
        <w:rPr>
          <w:rFonts w:ascii="Arial" w:hAnsi="Arial" w:cs="Arial"/>
          <w:sz w:val="22"/>
          <w:szCs w:val="22"/>
        </w:rPr>
        <w:t xml:space="preserve">cost containment </w:t>
      </w:r>
      <w:r w:rsidR="00B01D91">
        <w:rPr>
          <w:rFonts w:ascii="Arial" w:hAnsi="Arial" w:cs="Arial"/>
          <w:sz w:val="22"/>
          <w:szCs w:val="22"/>
        </w:rPr>
        <w:t xml:space="preserve">and the </w:t>
      </w:r>
      <w:r w:rsidR="002E30C5">
        <w:rPr>
          <w:rFonts w:ascii="Arial" w:hAnsi="Arial" w:cs="Arial"/>
          <w:sz w:val="22"/>
          <w:szCs w:val="22"/>
        </w:rPr>
        <w:t>owner</w:t>
      </w:r>
      <w:r w:rsidR="00B01D91">
        <w:rPr>
          <w:rFonts w:ascii="Arial" w:hAnsi="Arial" w:cs="Arial"/>
          <w:sz w:val="22"/>
          <w:szCs w:val="22"/>
        </w:rPr>
        <w:t xml:space="preserve"> failed</w:t>
      </w:r>
      <w:r w:rsidR="00D506E3" w:rsidRPr="0001331D">
        <w:rPr>
          <w:rFonts w:ascii="Arial" w:hAnsi="Arial" w:cs="Arial"/>
          <w:sz w:val="22"/>
          <w:szCs w:val="22"/>
        </w:rPr>
        <w:t xml:space="preserve"> to keep project</w:t>
      </w:r>
      <w:r w:rsidR="0001331D" w:rsidRPr="0001331D">
        <w:rPr>
          <w:rFonts w:ascii="Arial" w:hAnsi="Arial" w:cs="Arial"/>
          <w:sz w:val="22"/>
          <w:szCs w:val="22"/>
        </w:rPr>
        <w:t xml:space="preserve"> costs under the applicable cost threshold through final </w:t>
      </w:r>
      <w:r w:rsidR="00203C99">
        <w:rPr>
          <w:rFonts w:ascii="Arial" w:hAnsi="Arial" w:cs="Arial"/>
          <w:sz w:val="22"/>
          <w:szCs w:val="22"/>
        </w:rPr>
        <w:t>allocation</w:t>
      </w:r>
      <w:r w:rsidR="00406EEC">
        <w:rPr>
          <w:rFonts w:ascii="Arial" w:hAnsi="Arial" w:cs="Arial"/>
          <w:sz w:val="22"/>
          <w:szCs w:val="22"/>
        </w:rPr>
        <w:t xml:space="preserve">, </w:t>
      </w:r>
      <w:r w:rsidR="00B01D91">
        <w:rPr>
          <w:rFonts w:ascii="Arial" w:hAnsi="Arial" w:cs="Arial"/>
          <w:sz w:val="22"/>
          <w:szCs w:val="22"/>
        </w:rPr>
        <w:t xml:space="preserve">HTC </w:t>
      </w:r>
      <w:r w:rsidR="00865177">
        <w:rPr>
          <w:rFonts w:ascii="Arial" w:hAnsi="Arial" w:cs="Arial"/>
          <w:sz w:val="22"/>
          <w:szCs w:val="22"/>
        </w:rPr>
        <w:t>A</w:t>
      </w:r>
      <w:r w:rsidR="00B01D91">
        <w:rPr>
          <w:rFonts w:ascii="Arial" w:hAnsi="Arial" w:cs="Arial"/>
          <w:sz w:val="22"/>
          <w:szCs w:val="22"/>
        </w:rPr>
        <w:t>pplications</w:t>
      </w:r>
      <w:r w:rsidR="0001331D" w:rsidRPr="0001331D">
        <w:rPr>
          <w:rFonts w:ascii="Arial" w:hAnsi="Arial" w:cs="Arial"/>
          <w:sz w:val="22"/>
          <w:szCs w:val="22"/>
        </w:rPr>
        <w:t xml:space="preserve"> </w:t>
      </w:r>
      <w:r w:rsidR="00B01D91">
        <w:rPr>
          <w:rFonts w:ascii="Arial" w:hAnsi="Arial" w:cs="Arial"/>
          <w:sz w:val="22"/>
          <w:szCs w:val="22"/>
        </w:rPr>
        <w:t xml:space="preserve">submitted in the next funding round </w:t>
      </w:r>
      <w:r w:rsidR="0001331D" w:rsidRPr="0001331D">
        <w:rPr>
          <w:rFonts w:ascii="Arial" w:hAnsi="Arial" w:cs="Arial"/>
          <w:sz w:val="22"/>
          <w:szCs w:val="22"/>
        </w:rPr>
        <w:t xml:space="preserve">will be </w:t>
      </w:r>
      <w:r w:rsidR="00B01D91">
        <w:rPr>
          <w:rFonts w:ascii="Arial" w:hAnsi="Arial" w:cs="Arial"/>
          <w:sz w:val="22"/>
          <w:szCs w:val="22"/>
        </w:rPr>
        <w:t xml:space="preserve">assessed </w:t>
      </w:r>
      <w:r w:rsidR="0001331D" w:rsidRPr="0001331D">
        <w:rPr>
          <w:rFonts w:ascii="Arial" w:hAnsi="Arial" w:cs="Arial"/>
          <w:sz w:val="22"/>
          <w:szCs w:val="22"/>
        </w:rPr>
        <w:t xml:space="preserve">4 </w:t>
      </w:r>
      <w:r w:rsidR="00B01D91" w:rsidRPr="0001331D">
        <w:rPr>
          <w:rFonts w:ascii="Arial" w:hAnsi="Arial" w:cs="Arial"/>
          <w:sz w:val="22"/>
          <w:szCs w:val="22"/>
        </w:rPr>
        <w:t>negative</w:t>
      </w:r>
      <w:r w:rsidR="00B01D91">
        <w:rPr>
          <w:rFonts w:ascii="Arial" w:hAnsi="Arial" w:cs="Arial"/>
          <w:sz w:val="22"/>
          <w:szCs w:val="22"/>
        </w:rPr>
        <w:t xml:space="preserve"> points</w:t>
      </w:r>
      <w:r w:rsidR="0001331D" w:rsidRPr="0001331D">
        <w:rPr>
          <w:rFonts w:ascii="Arial" w:hAnsi="Arial" w:cs="Arial"/>
          <w:sz w:val="22"/>
          <w:szCs w:val="22"/>
        </w:rPr>
        <w:t>.</w:t>
      </w:r>
    </w:p>
    <w:p w:rsidR="00895FA1" w:rsidRDefault="00895FA1" w:rsidP="00225734">
      <w:pPr>
        <w:ind w:left="1440"/>
        <w:jc w:val="both"/>
        <w:rPr>
          <w:rFonts w:ascii="Arial" w:hAnsi="Arial" w:cs="Arial"/>
          <w:sz w:val="22"/>
          <w:szCs w:val="22"/>
        </w:rPr>
      </w:pPr>
    </w:p>
    <w:p w:rsidR="00895FA1" w:rsidRDefault="00895FA1" w:rsidP="00225734">
      <w:pPr>
        <w:ind w:left="1440"/>
        <w:jc w:val="both"/>
        <w:rPr>
          <w:rFonts w:ascii="Arial" w:hAnsi="Arial"/>
          <w:sz w:val="22"/>
        </w:rPr>
      </w:pPr>
      <w:r w:rsidRPr="00F153CA">
        <w:rPr>
          <w:rFonts w:ascii="Arial" w:hAnsi="Arial" w:cs="Arial"/>
          <w:sz w:val="22"/>
          <w:szCs w:val="22"/>
          <w:u w:val="single"/>
        </w:rPr>
        <w:t>For Saint Paul projects</w:t>
      </w:r>
      <w:r w:rsidR="00F153CA">
        <w:rPr>
          <w:rFonts w:ascii="Arial" w:hAnsi="Arial" w:cs="Arial"/>
          <w:sz w:val="22"/>
          <w:szCs w:val="22"/>
        </w:rPr>
        <w:t xml:space="preserve">: </w:t>
      </w:r>
      <w:r w:rsidRPr="00461091">
        <w:rPr>
          <w:rFonts w:ascii="Arial" w:hAnsi="Arial"/>
          <w:sz w:val="22"/>
        </w:rPr>
        <w:t>all projects must comply with cost-containment thresholds established by HRA. Projects with unique urban redevelopment conditions may request a cost containment adjustment subject to HRA</w:t>
      </w:r>
      <w:r w:rsidR="00B01D91">
        <w:rPr>
          <w:rFonts w:ascii="Arial" w:hAnsi="Arial"/>
          <w:sz w:val="22"/>
        </w:rPr>
        <w:t xml:space="preserve">’s review and </w:t>
      </w:r>
      <w:r w:rsidRPr="00461091">
        <w:rPr>
          <w:rFonts w:ascii="Arial" w:hAnsi="Arial"/>
          <w:sz w:val="22"/>
        </w:rPr>
        <w:t>approval.</w:t>
      </w:r>
    </w:p>
    <w:p w:rsidR="00F31CA2" w:rsidRDefault="00F31CA2" w:rsidP="00511AA2">
      <w:pPr>
        <w:ind w:left="1440"/>
        <w:rPr>
          <w:rFonts w:ascii="Arial" w:hAnsi="Arial" w:cs="Arial"/>
          <w:color w:val="FF0000"/>
          <w:sz w:val="22"/>
          <w:szCs w:val="22"/>
        </w:rPr>
      </w:pPr>
    </w:p>
    <w:p w:rsidR="00D506E3" w:rsidRDefault="00D506E3" w:rsidP="00511AA2">
      <w:pPr>
        <w:ind w:left="1440"/>
        <w:rPr>
          <w:rFonts w:ascii="Arial" w:hAnsi="Arial" w:cs="Arial"/>
          <w:b/>
          <w:sz w:val="22"/>
          <w:szCs w:val="22"/>
        </w:rPr>
      </w:pPr>
      <w:r w:rsidRPr="0001331D">
        <w:rPr>
          <w:rFonts w:ascii="Arial" w:hAnsi="Arial" w:cs="Arial"/>
          <w:b/>
          <w:sz w:val="22"/>
          <w:szCs w:val="22"/>
        </w:rPr>
        <w:t>Displacement of Section 8 Tenants</w:t>
      </w:r>
    </w:p>
    <w:p w:rsidR="00203C99" w:rsidRPr="0001331D" w:rsidRDefault="00203C99" w:rsidP="00511AA2">
      <w:pPr>
        <w:ind w:left="1440"/>
        <w:rPr>
          <w:rFonts w:ascii="Arial" w:hAnsi="Arial" w:cs="Arial"/>
          <w:b/>
          <w:sz w:val="22"/>
          <w:szCs w:val="22"/>
        </w:rPr>
      </w:pPr>
    </w:p>
    <w:p w:rsidR="004B4079" w:rsidRDefault="00D506E3" w:rsidP="00CB3DB3">
      <w:pPr>
        <w:ind w:left="1440"/>
        <w:jc w:val="both"/>
        <w:rPr>
          <w:rFonts w:ascii="Arial" w:hAnsi="Arial" w:cs="Arial"/>
          <w:sz w:val="22"/>
          <w:szCs w:val="22"/>
        </w:rPr>
      </w:pPr>
      <w:r w:rsidRPr="0001331D">
        <w:rPr>
          <w:rFonts w:ascii="Arial" w:hAnsi="Arial" w:cs="Arial"/>
          <w:sz w:val="22"/>
          <w:szCs w:val="22"/>
        </w:rPr>
        <w:t xml:space="preserve">CPED </w:t>
      </w:r>
      <w:r w:rsidR="005C5302" w:rsidRPr="0001331D">
        <w:rPr>
          <w:rFonts w:ascii="Arial" w:hAnsi="Arial" w:cs="Arial"/>
          <w:sz w:val="22"/>
          <w:szCs w:val="22"/>
        </w:rPr>
        <w:t xml:space="preserve">and </w:t>
      </w:r>
      <w:r w:rsidR="0001331D">
        <w:rPr>
          <w:rFonts w:ascii="Arial" w:hAnsi="Arial" w:cs="Arial"/>
          <w:sz w:val="22"/>
          <w:szCs w:val="22"/>
        </w:rPr>
        <w:t>H</w:t>
      </w:r>
      <w:r w:rsidR="005C5302" w:rsidRPr="0001331D">
        <w:rPr>
          <w:rFonts w:ascii="Arial" w:hAnsi="Arial" w:cs="Arial"/>
          <w:sz w:val="22"/>
          <w:szCs w:val="22"/>
        </w:rPr>
        <w:t xml:space="preserve">RA </w:t>
      </w:r>
      <w:r w:rsidR="002E30C5">
        <w:rPr>
          <w:rFonts w:ascii="Arial" w:hAnsi="Arial" w:cs="Arial"/>
          <w:sz w:val="22"/>
          <w:szCs w:val="22"/>
        </w:rPr>
        <w:t>will not accept A</w:t>
      </w:r>
      <w:r w:rsidRPr="0001331D">
        <w:rPr>
          <w:rFonts w:ascii="Arial" w:hAnsi="Arial" w:cs="Arial"/>
          <w:sz w:val="22"/>
          <w:szCs w:val="22"/>
        </w:rPr>
        <w:t xml:space="preserve">pplications that have displaced (or will displace) Section 8 </w:t>
      </w:r>
      <w:r w:rsidR="004B4079" w:rsidRPr="0001331D">
        <w:rPr>
          <w:rFonts w:ascii="Arial" w:hAnsi="Arial" w:cs="Arial"/>
          <w:sz w:val="22"/>
          <w:szCs w:val="22"/>
        </w:rPr>
        <w:t>t</w:t>
      </w:r>
      <w:r w:rsidRPr="0001331D">
        <w:rPr>
          <w:rFonts w:ascii="Arial" w:hAnsi="Arial" w:cs="Arial"/>
          <w:sz w:val="22"/>
          <w:szCs w:val="22"/>
        </w:rPr>
        <w:t xml:space="preserve">enants </w:t>
      </w:r>
      <w:r w:rsidR="004B4079" w:rsidRPr="0001331D">
        <w:rPr>
          <w:rFonts w:ascii="Arial" w:hAnsi="Arial" w:cs="Arial"/>
          <w:sz w:val="22"/>
          <w:szCs w:val="22"/>
        </w:rPr>
        <w:t>in a housing project because rents will be increased above the Section 8</w:t>
      </w:r>
      <w:r w:rsidR="0001331D">
        <w:rPr>
          <w:rFonts w:ascii="Arial" w:hAnsi="Arial" w:cs="Arial"/>
          <w:sz w:val="22"/>
          <w:szCs w:val="22"/>
        </w:rPr>
        <w:t xml:space="preserve"> Payment Standard Rent limit.  Rehabilitation projects that have existing Section</w:t>
      </w:r>
      <w:r w:rsidR="00600022">
        <w:rPr>
          <w:rFonts w:ascii="Arial" w:hAnsi="Arial" w:cs="Arial"/>
          <w:sz w:val="22"/>
          <w:szCs w:val="22"/>
        </w:rPr>
        <w:t xml:space="preserve"> </w:t>
      </w:r>
      <w:r w:rsidR="0001331D">
        <w:rPr>
          <w:rFonts w:ascii="Arial" w:hAnsi="Arial" w:cs="Arial"/>
          <w:sz w:val="22"/>
          <w:szCs w:val="22"/>
        </w:rPr>
        <w:t xml:space="preserve">8 tenants may not increase those rents (in Section 8 units only) above HUD’s Payment Standard Rents after completion of </w:t>
      </w:r>
      <w:r w:rsidR="00EB243D">
        <w:rPr>
          <w:rFonts w:ascii="Arial" w:hAnsi="Arial" w:cs="Arial"/>
          <w:sz w:val="22"/>
          <w:szCs w:val="22"/>
        </w:rPr>
        <w:t xml:space="preserve">the </w:t>
      </w:r>
      <w:r w:rsidR="0001331D">
        <w:rPr>
          <w:rFonts w:ascii="Arial" w:hAnsi="Arial" w:cs="Arial"/>
          <w:sz w:val="22"/>
          <w:szCs w:val="22"/>
        </w:rPr>
        <w:t>rehabilitation.</w:t>
      </w:r>
    </w:p>
    <w:p w:rsidR="004B4079" w:rsidRDefault="004B4079" w:rsidP="00511AA2">
      <w:pPr>
        <w:ind w:left="1440"/>
        <w:rPr>
          <w:rFonts w:ascii="Arial" w:hAnsi="Arial" w:cs="Arial"/>
          <w:color w:val="FF0000"/>
          <w:sz w:val="22"/>
          <w:szCs w:val="22"/>
        </w:rPr>
      </w:pPr>
    </w:p>
    <w:p w:rsidR="004B4079" w:rsidRPr="0001331D" w:rsidRDefault="00713001" w:rsidP="0096684B">
      <w:pPr>
        <w:ind w:left="2160" w:hanging="66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B4079" w:rsidRPr="0001331D">
        <w:rPr>
          <w:rFonts w:ascii="Arial" w:hAnsi="Arial" w:cs="Arial"/>
          <w:sz w:val="22"/>
          <w:szCs w:val="22"/>
        </w:rPr>
        <w:t xml:space="preserve">CPED </w:t>
      </w:r>
      <w:r w:rsidR="00EB243D">
        <w:rPr>
          <w:rFonts w:ascii="Arial" w:hAnsi="Arial" w:cs="Arial"/>
          <w:sz w:val="22"/>
          <w:szCs w:val="22"/>
        </w:rPr>
        <w:t xml:space="preserve">and </w:t>
      </w:r>
      <w:r w:rsidR="005C5302" w:rsidRPr="0001331D">
        <w:rPr>
          <w:rFonts w:ascii="Arial" w:hAnsi="Arial" w:cs="Arial"/>
          <w:sz w:val="22"/>
          <w:szCs w:val="22"/>
        </w:rPr>
        <w:t xml:space="preserve">HRA </w:t>
      </w:r>
      <w:r w:rsidR="004B4079" w:rsidRPr="0001331D">
        <w:rPr>
          <w:rFonts w:ascii="Arial" w:hAnsi="Arial" w:cs="Arial"/>
          <w:sz w:val="22"/>
          <w:szCs w:val="22"/>
        </w:rPr>
        <w:t>ha</w:t>
      </w:r>
      <w:r w:rsidR="00895FA1">
        <w:rPr>
          <w:rFonts w:ascii="Arial" w:hAnsi="Arial" w:cs="Arial"/>
          <w:sz w:val="22"/>
          <w:szCs w:val="22"/>
        </w:rPr>
        <w:t>ve</w:t>
      </w:r>
      <w:r w:rsidR="004B4079" w:rsidRPr="0001331D">
        <w:rPr>
          <w:rFonts w:ascii="Arial" w:hAnsi="Arial" w:cs="Arial"/>
          <w:sz w:val="22"/>
          <w:szCs w:val="22"/>
        </w:rPr>
        <w:t xml:space="preserve"> agreed to partner with the local HUD area office to determine if tenants of rehabilitation </w:t>
      </w:r>
      <w:r w:rsidR="00CE4471" w:rsidRPr="0001331D">
        <w:rPr>
          <w:rFonts w:ascii="Arial" w:hAnsi="Arial" w:cs="Arial"/>
          <w:sz w:val="22"/>
          <w:szCs w:val="22"/>
        </w:rPr>
        <w:t>projects:</w:t>
      </w:r>
    </w:p>
    <w:p w:rsidR="00CE4471" w:rsidRPr="0001331D" w:rsidRDefault="00CE4471" w:rsidP="006C5C9A">
      <w:pPr>
        <w:ind w:left="1500"/>
        <w:jc w:val="both"/>
        <w:rPr>
          <w:rFonts w:ascii="Arial" w:hAnsi="Arial" w:cs="Arial"/>
          <w:sz w:val="22"/>
          <w:szCs w:val="22"/>
        </w:rPr>
      </w:pPr>
    </w:p>
    <w:p w:rsidR="000157BB" w:rsidRPr="0001331D" w:rsidRDefault="00713001" w:rsidP="00713001">
      <w:pPr>
        <w:ind w:left="1500" w:firstLine="660"/>
        <w:jc w:val="both"/>
        <w:rPr>
          <w:rFonts w:ascii="Arial" w:hAnsi="Arial" w:cs="Arial"/>
          <w:sz w:val="22"/>
          <w:szCs w:val="22"/>
        </w:rPr>
      </w:pPr>
      <w:r>
        <w:rPr>
          <w:rFonts w:ascii="Arial" w:hAnsi="Arial" w:cs="Arial"/>
          <w:sz w:val="22"/>
          <w:szCs w:val="22"/>
        </w:rPr>
        <w:t>(a)</w:t>
      </w:r>
      <w:r>
        <w:rPr>
          <w:rFonts w:ascii="Arial" w:hAnsi="Arial" w:cs="Arial"/>
          <w:sz w:val="22"/>
          <w:szCs w:val="22"/>
        </w:rPr>
        <w:tab/>
      </w:r>
      <w:r w:rsidR="000157BB" w:rsidRPr="0001331D">
        <w:rPr>
          <w:rFonts w:ascii="Arial" w:hAnsi="Arial" w:cs="Arial"/>
          <w:sz w:val="22"/>
          <w:szCs w:val="22"/>
        </w:rPr>
        <w:t xml:space="preserve">Were displaced prior to </w:t>
      </w:r>
      <w:r w:rsidR="00EB243D">
        <w:rPr>
          <w:rFonts w:ascii="Arial" w:hAnsi="Arial" w:cs="Arial"/>
          <w:sz w:val="22"/>
          <w:szCs w:val="22"/>
        </w:rPr>
        <w:t xml:space="preserve">submission of an </w:t>
      </w:r>
      <w:r w:rsidR="002E30C5">
        <w:rPr>
          <w:rFonts w:ascii="Arial" w:hAnsi="Arial" w:cs="Arial"/>
          <w:sz w:val="22"/>
          <w:szCs w:val="22"/>
        </w:rPr>
        <w:t>A</w:t>
      </w:r>
      <w:r w:rsidR="000157BB" w:rsidRPr="0001331D">
        <w:rPr>
          <w:rFonts w:ascii="Arial" w:hAnsi="Arial" w:cs="Arial"/>
          <w:sz w:val="22"/>
          <w:szCs w:val="22"/>
        </w:rPr>
        <w:t>pplication</w:t>
      </w:r>
    </w:p>
    <w:p w:rsidR="004B4079" w:rsidRPr="0001331D" w:rsidRDefault="00713001" w:rsidP="00713001">
      <w:pPr>
        <w:ind w:left="1440" w:firstLine="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00022">
        <w:rPr>
          <w:rFonts w:ascii="Arial" w:hAnsi="Arial" w:cs="Arial"/>
          <w:sz w:val="22"/>
          <w:szCs w:val="22"/>
        </w:rPr>
        <w:t xml:space="preserve">Will be </w:t>
      </w:r>
      <w:r w:rsidR="004B4079" w:rsidRPr="0001331D">
        <w:rPr>
          <w:rFonts w:ascii="Arial" w:hAnsi="Arial" w:cs="Arial"/>
          <w:sz w:val="22"/>
          <w:szCs w:val="22"/>
        </w:rPr>
        <w:t xml:space="preserve">displaced after </w:t>
      </w:r>
      <w:r w:rsidR="00EB243D">
        <w:rPr>
          <w:rFonts w:ascii="Arial" w:hAnsi="Arial" w:cs="Arial"/>
          <w:sz w:val="22"/>
          <w:szCs w:val="22"/>
        </w:rPr>
        <w:t xml:space="preserve">completion of the </w:t>
      </w:r>
      <w:r w:rsidR="004B4079" w:rsidRPr="0001331D">
        <w:rPr>
          <w:rFonts w:ascii="Arial" w:hAnsi="Arial" w:cs="Arial"/>
          <w:sz w:val="22"/>
          <w:szCs w:val="22"/>
        </w:rPr>
        <w:t xml:space="preserve">rehabilitation </w:t>
      </w:r>
    </w:p>
    <w:p w:rsidR="004B4079" w:rsidRDefault="004B4079" w:rsidP="006C5C9A">
      <w:pPr>
        <w:ind w:left="2520"/>
        <w:jc w:val="both"/>
        <w:rPr>
          <w:rFonts w:ascii="Arial" w:hAnsi="Arial" w:cs="Arial"/>
          <w:color w:val="FF0000"/>
          <w:sz w:val="22"/>
          <w:szCs w:val="22"/>
        </w:rPr>
      </w:pPr>
    </w:p>
    <w:p w:rsidR="00CE4471" w:rsidRDefault="00713001" w:rsidP="0096684B">
      <w:pPr>
        <w:ind w:left="2160" w:hanging="720"/>
        <w:jc w:val="both"/>
        <w:rPr>
          <w:rFonts w:ascii="Arial" w:hAnsi="Arial" w:cs="Arial"/>
          <w:sz w:val="22"/>
          <w:szCs w:val="22"/>
        </w:rPr>
      </w:pPr>
      <w:r w:rsidRPr="00713001">
        <w:rPr>
          <w:rFonts w:ascii="Arial" w:hAnsi="Arial" w:cs="Arial"/>
          <w:sz w:val="22"/>
          <w:szCs w:val="22"/>
        </w:rPr>
        <w:t>(2)</w:t>
      </w:r>
      <w:r w:rsidRPr="00713001">
        <w:rPr>
          <w:rFonts w:ascii="Arial" w:hAnsi="Arial" w:cs="Arial"/>
          <w:sz w:val="22"/>
          <w:szCs w:val="22"/>
        </w:rPr>
        <w:tab/>
      </w:r>
      <w:r w:rsidR="00895FA1" w:rsidRPr="00B61A4A">
        <w:rPr>
          <w:rFonts w:ascii="Arial" w:hAnsi="Arial" w:cs="Arial"/>
          <w:sz w:val="22"/>
          <w:szCs w:val="22"/>
          <w:u w:val="single"/>
        </w:rPr>
        <w:t>For Minneapolis projects</w:t>
      </w:r>
      <w:r w:rsidR="00895FA1">
        <w:rPr>
          <w:rFonts w:ascii="Arial" w:hAnsi="Arial" w:cs="Arial"/>
          <w:sz w:val="22"/>
          <w:szCs w:val="22"/>
        </w:rPr>
        <w:t>: i</w:t>
      </w:r>
      <w:r w:rsidR="004B4079" w:rsidRPr="002B5504">
        <w:rPr>
          <w:rFonts w:ascii="Arial" w:hAnsi="Arial" w:cs="Arial"/>
          <w:sz w:val="22"/>
          <w:szCs w:val="22"/>
        </w:rPr>
        <w:t>f CPED</w:t>
      </w:r>
      <w:r w:rsidR="002B5504" w:rsidRPr="002B5504">
        <w:rPr>
          <w:rFonts w:ascii="Arial" w:hAnsi="Arial" w:cs="Arial"/>
          <w:sz w:val="22"/>
          <w:szCs w:val="22"/>
        </w:rPr>
        <w:t>,</w:t>
      </w:r>
      <w:r w:rsidR="004B4079" w:rsidRPr="002B5504">
        <w:rPr>
          <w:rFonts w:ascii="Arial" w:hAnsi="Arial" w:cs="Arial"/>
          <w:sz w:val="22"/>
          <w:szCs w:val="22"/>
        </w:rPr>
        <w:t xml:space="preserve"> and the local HUD area office agree that</w:t>
      </w:r>
      <w:r w:rsidR="002B5504" w:rsidRPr="002B5504">
        <w:rPr>
          <w:rFonts w:ascii="Arial" w:hAnsi="Arial" w:cs="Arial"/>
          <w:sz w:val="22"/>
          <w:szCs w:val="22"/>
        </w:rPr>
        <w:t xml:space="preserve"> </w:t>
      </w:r>
      <w:r w:rsidR="004B4079" w:rsidRPr="002B5504">
        <w:rPr>
          <w:rFonts w:ascii="Arial" w:hAnsi="Arial" w:cs="Arial"/>
          <w:sz w:val="22"/>
          <w:szCs w:val="22"/>
        </w:rPr>
        <w:t xml:space="preserve">intentional </w:t>
      </w:r>
      <w:r w:rsidR="00895FA1">
        <w:rPr>
          <w:rFonts w:ascii="Arial" w:hAnsi="Arial" w:cs="Arial"/>
          <w:sz w:val="22"/>
          <w:szCs w:val="22"/>
        </w:rPr>
        <w:t xml:space="preserve">displacement </w:t>
      </w:r>
      <w:r w:rsidR="00073B9A" w:rsidRPr="002B5504">
        <w:rPr>
          <w:rFonts w:ascii="Arial" w:hAnsi="Arial" w:cs="Arial"/>
          <w:sz w:val="22"/>
          <w:szCs w:val="22"/>
        </w:rPr>
        <w:t>o</w:t>
      </w:r>
      <w:r w:rsidR="004B4079" w:rsidRPr="002B5504">
        <w:rPr>
          <w:rFonts w:ascii="Arial" w:hAnsi="Arial" w:cs="Arial"/>
          <w:sz w:val="22"/>
          <w:szCs w:val="22"/>
        </w:rPr>
        <w:t xml:space="preserve">f Section 8 tenants </w:t>
      </w:r>
      <w:r w:rsidR="00B61A4A">
        <w:rPr>
          <w:rFonts w:ascii="Arial" w:hAnsi="Arial" w:cs="Arial"/>
          <w:sz w:val="22"/>
          <w:szCs w:val="22"/>
        </w:rPr>
        <w:t xml:space="preserve">has occurred, </w:t>
      </w:r>
      <w:r w:rsidR="002E30C5">
        <w:rPr>
          <w:rFonts w:ascii="Arial" w:hAnsi="Arial" w:cs="Arial"/>
          <w:sz w:val="22"/>
          <w:szCs w:val="22"/>
        </w:rPr>
        <w:t>CP</w:t>
      </w:r>
      <w:r w:rsidR="002B5504" w:rsidRPr="002B5504">
        <w:rPr>
          <w:rFonts w:ascii="Arial" w:hAnsi="Arial" w:cs="Arial"/>
          <w:sz w:val="22"/>
          <w:szCs w:val="22"/>
        </w:rPr>
        <w:t xml:space="preserve">ED will: </w:t>
      </w:r>
    </w:p>
    <w:p w:rsidR="0075003D" w:rsidRPr="002B5504" w:rsidRDefault="0075003D" w:rsidP="006C5C9A">
      <w:pPr>
        <w:ind w:left="1500"/>
        <w:jc w:val="both"/>
        <w:rPr>
          <w:rFonts w:ascii="Arial" w:hAnsi="Arial" w:cs="Arial"/>
          <w:sz w:val="22"/>
          <w:szCs w:val="22"/>
        </w:rPr>
      </w:pPr>
    </w:p>
    <w:p w:rsidR="00713001" w:rsidRDefault="00713001" w:rsidP="00713001">
      <w:pPr>
        <w:ind w:left="2160"/>
        <w:jc w:val="both"/>
        <w:rPr>
          <w:rFonts w:ascii="Arial" w:hAnsi="Arial" w:cs="Arial"/>
          <w:sz w:val="22"/>
          <w:szCs w:val="22"/>
        </w:rPr>
      </w:pPr>
      <w:r>
        <w:rPr>
          <w:rFonts w:ascii="Arial" w:hAnsi="Arial" w:cs="Arial"/>
          <w:sz w:val="22"/>
          <w:szCs w:val="22"/>
        </w:rPr>
        <w:t>(a)</w:t>
      </w:r>
      <w:r>
        <w:rPr>
          <w:rFonts w:ascii="Arial" w:hAnsi="Arial" w:cs="Arial"/>
          <w:sz w:val="22"/>
          <w:szCs w:val="22"/>
        </w:rPr>
        <w:tab/>
      </w:r>
      <w:r w:rsidR="00CE4471" w:rsidRPr="00865177">
        <w:rPr>
          <w:rFonts w:ascii="Arial" w:hAnsi="Arial" w:cs="Arial"/>
          <w:sz w:val="22"/>
          <w:szCs w:val="22"/>
        </w:rPr>
        <w:t xml:space="preserve">Reduce or rescind the reservation/allocation of the </w:t>
      </w:r>
      <w:r w:rsidR="00600022" w:rsidRPr="00865177">
        <w:rPr>
          <w:rFonts w:ascii="Arial" w:hAnsi="Arial" w:cs="Arial"/>
          <w:sz w:val="22"/>
          <w:szCs w:val="22"/>
        </w:rPr>
        <w:t xml:space="preserve">HTC </w:t>
      </w:r>
      <w:r w:rsidR="00CE4471" w:rsidRPr="00865177">
        <w:rPr>
          <w:rFonts w:ascii="Arial" w:hAnsi="Arial" w:cs="Arial"/>
          <w:sz w:val="22"/>
          <w:szCs w:val="22"/>
        </w:rPr>
        <w:t>to</w:t>
      </w:r>
      <w:r w:rsidR="00865177" w:rsidRPr="00865177">
        <w:rPr>
          <w:rFonts w:ascii="Arial" w:hAnsi="Arial" w:cs="Arial"/>
          <w:sz w:val="22"/>
          <w:szCs w:val="22"/>
        </w:rPr>
        <w:t xml:space="preserve"> </w:t>
      </w:r>
      <w:r w:rsidR="00CE4471" w:rsidRPr="00865177">
        <w:rPr>
          <w:rFonts w:ascii="Arial" w:hAnsi="Arial" w:cs="Arial"/>
          <w:sz w:val="22"/>
          <w:szCs w:val="22"/>
        </w:rPr>
        <w:t xml:space="preserve">the </w:t>
      </w:r>
      <w:r w:rsidR="005E4292">
        <w:rPr>
          <w:rFonts w:ascii="Arial" w:hAnsi="Arial" w:cs="Arial"/>
          <w:sz w:val="22"/>
          <w:szCs w:val="22"/>
        </w:rPr>
        <w:tab/>
      </w:r>
      <w:r w:rsidR="00CE4471" w:rsidRPr="00865177">
        <w:rPr>
          <w:rFonts w:ascii="Arial" w:hAnsi="Arial" w:cs="Arial"/>
          <w:sz w:val="22"/>
          <w:szCs w:val="22"/>
        </w:rPr>
        <w:t xml:space="preserve">project prior to issuance of the </w:t>
      </w:r>
      <w:r w:rsidR="00600022" w:rsidRPr="00865177">
        <w:rPr>
          <w:rFonts w:ascii="Arial" w:hAnsi="Arial" w:cs="Arial"/>
          <w:sz w:val="22"/>
          <w:szCs w:val="22"/>
        </w:rPr>
        <w:t xml:space="preserve">Form </w:t>
      </w:r>
      <w:r w:rsidR="00CE4471" w:rsidRPr="00865177">
        <w:rPr>
          <w:rFonts w:ascii="Arial" w:hAnsi="Arial" w:cs="Arial"/>
          <w:sz w:val="22"/>
          <w:szCs w:val="22"/>
        </w:rPr>
        <w:t>8609</w:t>
      </w:r>
      <w:r w:rsidR="00895FA1" w:rsidRPr="00865177">
        <w:rPr>
          <w:rFonts w:ascii="Arial" w:hAnsi="Arial" w:cs="Arial"/>
          <w:sz w:val="22"/>
          <w:szCs w:val="22"/>
        </w:rPr>
        <w:t>.</w:t>
      </w:r>
    </w:p>
    <w:p w:rsidR="00CE4471" w:rsidRPr="00203C99" w:rsidRDefault="00713001" w:rsidP="0096684B">
      <w:pPr>
        <w:ind w:left="288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895FA1" w:rsidRPr="00203C99">
        <w:rPr>
          <w:rFonts w:ascii="Arial" w:hAnsi="Arial" w:cs="Arial"/>
          <w:sz w:val="22"/>
          <w:szCs w:val="22"/>
        </w:rPr>
        <w:t>A</w:t>
      </w:r>
      <w:r w:rsidR="00203C99" w:rsidRPr="00203C99">
        <w:rPr>
          <w:rFonts w:ascii="Arial" w:hAnsi="Arial" w:cs="Arial"/>
          <w:sz w:val="22"/>
          <w:szCs w:val="22"/>
        </w:rPr>
        <w:t xml:space="preserve">ssess </w:t>
      </w:r>
      <w:r w:rsidR="00B75DA1" w:rsidRPr="00203C99">
        <w:rPr>
          <w:rFonts w:ascii="Arial" w:hAnsi="Arial" w:cs="Arial"/>
          <w:sz w:val="22"/>
          <w:szCs w:val="22"/>
        </w:rPr>
        <w:t>25</w:t>
      </w:r>
      <w:r w:rsidR="00CE4471" w:rsidRPr="00203C99">
        <w:rPr>
          <w:rFonts w:ascii="Arial" w:hAnsi="Arial" w:cs="Arial"/>
          <w:sz w:val="22"/>
          <w:szCs w:val="22"/>
        </w:rPr>
        <w:t xml:space="preserve"> </w:t>
      </w:r>
      <w:r w:rsidR="00B61A4A" w:rsidRPr="00203C99">
        <w:rPr>
          <w:rFonts w:ascii="Arial" w:hAnsi="Arial" w:cs="Arial"/>
          <w:sz w:val="22"/>
          <w:szCs w:val="22"/>
        </w:rPr>
        <w:t xml:space="preserve">negative </w:t>
      </w:r>
      <w:r w:rsidR="00CE4471" w:rsidRPr="00203C99">
        <w:rPr>
          <w:rFonts w:ascii="Arial" w:hAnsi="Arial" w:cs="Arial"/>
          <w:sz w:val="22"/>
          <w:szCs w:val="22"/>
        </w:rPr>
        <w:t>point</w:t>
      </w:r>
      <w:r w:rsidR="00B61A4A" w:rsidRPr="00203C99">
        <w:rPr>
          <w:rFonts w:ascii="Arial" w:hAnsi="Arial" w:cs="Arial"/>
          <w:sz w:val="22"/>
          <w:szCs w:val="22"/>
        </w:rPr>
        <w:t>s</w:t>
      </w:r>
      <w:r w:rsidR="00CE4471" w:rsidRPr="00203C99">
        <w:rPr>
          <w:rFonts w:ascii="Arial" w:hAnsi="Arial" w:cs="Arial"/>
          <w:sz w:val="22"/>
          <w:szCs w:val="22"/>
        </w:rPr>
        <w:t xml:space="preserve"> to all parties involved in</w:t>
      </w:r>
      <w:r w:rsidR="006D6124" w:rsidRPr="00203C99">
        <w:rPr>
          <w:rFonts w:ascii="Arial" w:hAnsi="Arial" w:cs="Arial"/>
          <w:sz w:val="22"/>
          <w:szCs w:val="22"/>
        </w:rPr>
        <w:t xml:space="preserve"> </w:t>
      </w:r>
      <w:r w:rsidR="0096684B">
        <w:rPr>
          <w:rFonts w:ascii="Arial" w:hAnsi="Arial" w:cs="Arial"/>
          <w:sz w:val="22"/>
          <w:szCs w:val="22"/>
        </w:rPr>
        <w:t xml:space="preserve">        </w:t>
      </w:r>
      <w:r w:rsidR="00AA78BA" w:rsidRPr="00203C99">
        <w:rPr>
          <w:rFonts w:ascii="Arial" w:hAnsi="Arial" w:cs="Arial"/>
          <w:sz w:val="22"/>
          <w:szCs w:val="22"/>
        </w:rPr>
        <w:t>o</w:t>
      </w:r>
      <w:r w:rsidR="00CE4471" w:rsidRPr="00203C99">
        <w:rPr>
          <w:rFonts w:ascii="Arial" w:hAnsi="Arial" w:cs="Arial"/>
          <w:sz w:val="22"/>
          <w:szCs w:val="22"/>
        </w:rPr>
        <w:t xml:space="preserve">wnership/management of the project for </w:t>
      </w:r>
      <w:r w:rsidR="00203C99" w:rsidRPr="00203C99">
        <w:rPr>
          <w:rFonts w:ascii="Arial" w:hAnsi="Arial" w:cs="Arial"/>
          <w:sz w:val="22"/>
          <w:szCs w:val="22"/>
        </w:rPr>
        <w:t xml:space="preserve">the next </w:t>
      </w:r>
      <w:r w:rsidR="00CE4471" w:rsidRPr="00203C99">
        <w:rPr>
          <w:rFonts w:ascii="Arial" w:hAnsi="Arial" w:cs="Arial"/>
          <w:sz w:val="22"/>
          <w:szCs w:val="22"/>
        </w:rPr>
        <w:t xml:space="preserve">four </w:t>
      </w:r>
      <w:r w:rsidR="00203C99" w:rsidRPr="00203C99">
        <w:rPr>
          <w:rFonts w:ascii="Arial" w:hAnsi="Arial" w:cs="Arial"/>
          <w:sz w:val="22"/>
          <w:szCs w:val="22"/>
        </w:rPr>
        <w:t xml:space="preserve">(4) </w:t>
      </w:r>
      <w:r w:rsidR="00CE4471" w:rsidRPr="00203C99">
        <w:rPr>
          <w:rFonts w:ascii="Arial" w:hAnsi="Arial" w:cs="Arial"/>
          <w:sz w:val="22"/>
          <w:szCs w:val="22"/>
        </w:rPr>
        <w:t>funding rounds</w:t>
      </w:r>
      <w:r w:rsidR="00203C99" w:rsidRPr="00203C99">
        <w:rPr>
          <w:rFonts w:ascii="Arial" w:hAnsi="Arial" w:cs="Arial"/>
          <w:sz w:val="22"/>
          <w:szCs w:val="22"/>
        </w:rPr>
        <w:t xml:space="preserve"> </w:t>
      </w:r>
      <w:r w:rsidR="00CE4471" w:rsidRPr="00203C99">
        <w:rPr>
          <w:rFonts w:ascii="Arial" w:hAnsi="Arial" w:cs="Arial"/>
          <w:sz w:val="22"/>
          <w:szCs w:val="22"/>
        </w:rPr>
        <w:t>following notifi</w:t>
      </w:r>
      <w:r w:rsidR="00203C99">
        <w:rPr>
          <w:rFonts w:ascii="Arial" w:hAnsi="Arial" w:cs="Arial"/>
          <w:sz w:val="22"/>
          <w:szCs w:val="22"/>
        </w:rPr>
        <w:t xml:space="preserve">cation of the assessment of </w:t>
      </w:r>
      <w:r w:rsidR="00CE4471" w:rsidRPr="00203C99">
        <w:rPr>
          <w:rFonts w:ascii="Arial" w:hAnsi="Arial" w:cs="Arial"/>
          <w:sz w:val="22"/>
          <w:szCs w:val="22"/>
        </w:rPr>
        <w:t>negative points</w:t>
      </w:r>
      <w:r w:rsidR="0057260A" w:rsidRPr="00203C99">
        <w:rPr>
          <w:rFonts w:ascii="Arial" w:hAnsi="Arial" w:cs="Arial"/>
          <w:sz w:val="22"/>
          <w:szCs w:val="22"/>
        </w:rPr>
        <w:t xml:space="preserve"> </w:t>
      </w:r>
      <w:r w:rsidR="00CE4471" w:rsidRPr="00203C99">
        <w:rPr>
          <w:rFonts w:ascii="Arial" w:hAnsi="Arial" w:cs="Arial"/>
          <w:sz w:val="22"/>
          <w:szCs w:val="22"/>
        </w:rPr>
        <w:t xml:space="preserve">by CPED. This also applies to </w:t>
      </w:r>
      <w:r w:rsidR="00893243" w:rsidRPr="00203C99">
        <w:rPr>
          <w:rFonts w:ascii="Arial" w:hAnsi="Arial" w:cs="Arial"/>
          <w:sz w:val="22"/>
          <w:szCs w:val="22"/>
        </w:rPr>
        <w:t xml:space="preserve">4% </w:t>
      </w:r>
      <w:r w:rsidR="00203C99">
        <w:rPr>
          <w:rFonts w:ascii="Arial" w:hAnsi="Arial" w:cs="Arial"/>
          <w:sz w:val="22"/>
          <w:szCs w:val="22"/>
        </w:rPr>
        <w:t xml:space="preserve">HTC </w:t>
      </w:r>
      <w:r w:rsidR="00CE4471" w:rsidRPr="00203C99">
        <w:rPr>
          <w:rFonts w:ascii="Arial" w:hAnsi="Arial" w:cs="Arial"/>
          <w:sz w:val="22"/>
          <w:szCs w:val="22"/>
        </w:rPr>
        <w:t>projects,</w:t>
      </w:r>
      <w:r w:rsidR="0057260A" w:rsidRPr="00203C99">
        <w:rPr>
          <w:rFonts w:ascii="Arial" w:hAnsi="Arial" w:cs="Arial"/>
          <w:sz w:val="22"/>
          <w:szCs w:val="22"/>
        </w:rPr>
        <w:t xml:space="preserve"> </w:t>
      </w:r>
      <w:r w:rsidR="00CE4471" w:rsidRPr="00203C99">
        <w:rPr>
          <w:rFonts w:ascii="Arial" w:hAnsi="Arial" w:cs="Arial"/>
          <w:sz w:val="22"/>
          <w:szCs w:val="22"/>
        </w:rPr>
        <w:t>owners and managers</w:t>
      </w:r>
      <w:r w:rsidR="00073B9A" w:rsidRPr="00203C99">
        <w:rPr>
          <w:rFonts w:ascii="Arial" w:hAnsi="Arial" w:cs="Arial"/>
          <w:sz w:val="22"/>
          <w:szCs w:val="22"/>
        </w:rPr>
        <w:t>.</w:t>
      </w:r>
    </w:p>
    <w:p w:rsidR="0075003D" w:rsidRDefault="0075003D" w:rsidP="00CE4471">
      <w:pPr>
        <w:ind w:left="2520"/>
        <w:rPr>
          <w:rFonts w:ascii="Arial" w:hAnsi="Arial" w:cs="Arial"/>
          <w:sz w:val="22"/>
          <w:szCs w:val="22"/>
        </w:rPr>
      </w:pPr>
    </w:p>
    <w:p w:rsidR="0075003D" w:rsidRDefault="00713001" w:rsidP="0096684B">
      <w:pPr>
        <w:ind w:left="2160" w:hanging="540"/>
        <w:rPr>
          <w:rFonts w:ascii="Arial" w:hAnsi="Arial" w:cs="Arial"/>
          <w:sz w:val="22"/>
          <w:szCs w:val="22"/>
        </w:rPr>
      </w:pPr>
      <w:r w:rsidRPr="00713001">
        <w:rPr>
          <w:rFonts w:ascii="Arial" w:hAnsi="Arial" w:cs="Arial"/>
          <w:sz w:val="22"/>
          <w:szCs w:val="22"/>
        </w:rPr>
        <w:t>(3)</w:t>
      </w:r>
      <w:r w:rsidRPr="00713001">
        <w:rPr>
          <w:rFonts w:ascii="Arial" w:hAnsi="Arial" w:cs="Arial"/>
          <w:sz w:val="22"/>
          <w:szCs w:val="22"/>
        </w:rPr>
        <w:tab/>
      </w:r>
      <w:r w:rsidR="0057260A" w:rsidRPr="00B61A4A">
        <w:rPr>
          <w:rFonts w:ascii="Arial" w:hAnsi="Arial" w:cs="Arial"/>
          <w:sz w:val="22"/>
          <w:szCs w:val="22"/>
          <w:u w:val="single"/>
        </w:rPr>
        <w:t>For Saint Paul projects</w:t>
      </w:r>
      <w:r w:rsidR="0057260A">
        <w:rPr>
          <w:rFonts w:ascii="Arial" w:hAnsi="Arial" w:cs="Arial"/>
          <w:sz w:val="22"/>
          <w:szCs w:val="22"/>
        </w:rPr>
        <w:t>: i</w:t>
      </w:r>
      <w:r w:rsidR="0075003D">
        <w:rPr>
          <w:rFonts w:ascii="Arial" w:hAnsi="Arial" w:cs="Arial"/>
          <w:sz w:val="22"/>
          <w:szCs w:val="22"/>
        </w:rPr>
        <w:t>f HRA and the local HUD area office agree that intentional displacement of Section 8 tenants occurred</w:t>
      </w:r>
      <w:r w:rsidR="00B61A4A">
        <w:rPr>
          <w:rFonts w:ascii="Arial" w:hAnsi="Arial" w:cs="Arial"/>
          <w:sz w:val="22"/>
          <w:szCs w:val="22"/>
        </w:rPr>
        <w:t>,</w:t>
      </w:r>
      <w:r w:rsidR="0075003D">
        <w:rPr>
          <w:rFonts w:ascii="Arial" w:hAnsi="Arial" w:cs="Arial"/>
          <w:sz w:val="22"/>
          <w:szCs w:val="22"/>
        </w:rPr>
        <w:t xml:space="preserve"> HRA reserve</w:t>
      </w:r>
      <w:r w:rsidR="00947D8F">
        <w:rPr>
          <w:rFonts w:ascii="Arial" w:hAnsi="Arial" w:cs="Arial"/>
          <w:sz w:val="22"/>
          <w:szCs w:val="22"/>
        </w:rPr>
        <w:t>s</w:t>
      </w:r>
      <w:r w:rsidR="0075003D">
        <w:rPr>
          <w:rFonts w:ascii="Arial" w:hAnsi="Arial" w:cs="Arial"/>
          <w:sz w:val="22"/>
          <w:szCs w:val="22"/>
        </w:rPr>
        <w:t xml:space="preserve"> the right to reduce or rescind the reservation/allocation of the </w:t>
      </w:r>
      <w:r w:rsidR="00600022">
        <w:rPr>
          <w:rFonts w:ascii="Arial" w:hAnsi="Arial" w:cs="Arial"/>
          <w:sz w:val="22"/>
          <w:szCs w:val="22"/>
        </w:rPr>
        <w:t>HTC</w:t>
      </w:r>
      <w:r w:rsidR="0075003D">
        <w:rPr>
          <w:rFonts w:ascii="Arial" w:hAnsi="Arial" w:cs="Arial"/>
          <w:sz w:val="22"/>
          <w:szCs w:val="22"/>
        </w:rPr>
        <w:t xml:space="preserve"> to the project prior to issuance of the </w:t>
      </w:r>
      <w:r w:rsidR="00600022">
        <w:rPr>
          <w:rFonts w:ascii="Arial" w:hAnsi="Arial" w:cs="Arial"/>
          <w:sz w:val="22"/>
          <w:szCs w:val="22"/>
        </w:rPr>
        <w:t xml:space="preserve">Form </w:t>
      </w:r>
      <w:r w:rsidR="0075003D">
        <w:rPr>
          <w:rFonts w:ascii="Arial" w:hAnsi="Arial" w:cs="Arial"/>
          <w:sz w:val="22"/>
          <w:szCs w:val="22"/>
        </w:rPr>
        <w:t>8609</w:t>
      </w:r>
      <w:r w:rsidR="0057260A">
        <w:rPr>
          <w:rFonts w:ascii="Arial" w:hAnsi="Arial" w:cs="Arial"/>
          <w:sz w:val="22"/>
          <w:szCs w:val="22"/>
        </w:rPr>
        <w:t>.</w:t>
      </w:r>
    </w:p>
    <w:p w:rsidR="005F6082" w:rsidRDefault="005F6082" w:rsidP="006D6124">
      <w:pPr>
        <w:pStyle w:val="Heading2"/>
        <w:ind w:left="1440"/>
        <w:rPr>
          <w:rFonts w:ascii="Arial" w:hAnsi="Arial"/>
          <w:i w:val="0"/>
          <w:sz w:val="22"/>
        </w:rPr>
      </w:pPr>
      <w:bookmarkStart w:id="9" w:name="_Toc511902988"/>
      <w:r w:rsidRPr="00E03091">
        <w:rPr>
          <w:rFonts w:ascii="Arial" w:hAnsi="Arial"/>
          <w:i w:val="0"/>
          <w:sz w:val="22"/>
        </w:rPr>
        <w:t>Changes to Project</w:t>
      </w:r>
      <w:r w:rsidRPr="00E03091">
        <w:rPr>
          <w:rFonts w:ascii="Arial" w:hAnsi="Arial"/>
          <w:i w:val="0"/>
          <w:sz w:val="22"/>
        </w:rPr>
        <w:fldChar w:fldCharType="begin"/>
      </w:r>
      <w:r w:rsidRPr="00E03091">
        <w:rPr>
          <w:rFonts w:ascii="Arial" w:hAnsi="Arial"/>
          <w:i w:val="0"/>
          <w:sz w:val="22"/>
        </w:rPr>
        <w:instrText>tc \l2 "E.</w:instrText>
      </w:r>
      <w:r w:rsidRPr="00E03091">
        <w:rPr>
          <w:rFonts w:ascii="Arial" w:hAnsi="Arial"/>
          <w:i w:val="0"/>
          <w:sz w:val="22"/>
        </w:rPr>
        <w:tab/>
        <w:instrText>Changes to Project</w:instrText>
      </w:r>
      <w:r w:rsidRPr="00E03091">
        <w:rPr>
          <w:rFonts w:ascii="Arial" w:hAnsi="Arial"/>
          <w:i w:val="0"/>
          <w:sz w:val="22"/>
        </w:rPr>
        <w:fldChar w:fldCharType="end"/>
      </w:r>
      <w:bookmarkEnd w:id="9"/>
    </w:p>
    <w:p w:rsidR="00CB3DB3" w:rsidRDefault="00CB3DB3">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84AA0" w:rsidRDefault="0059479C">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award of </w:t>
      </w:r>
      <w:r>
        <w:rPr>
          <w:rFonts w:ascii="Arial" w:hAnsi="Arial" w:cs="Arial"/>
          <w:sz w:val="22"/>
          <w:szCs w:val="22"/>
        </w:rPr>
        <w:t>HTC</w:t>
      </w:r>
      <w:r w:rsidR="005F6082">
        <w:rPr>
          <w:rFonts w:ascii="Arial" w:hAnsi="Arial"/>
          <w:sz w:val="22"/>
        </w:rPr>
        <w:t>s is based up</w:t>
      </w:r>
      <w:r w:rsidR="002E30C5">
        <w:rPr>
          <w:rFonts w:ascii="Arial" w:hAnsi="Arial"/>
          <w:sz w:val="22"/>
        </w:rPr>
        <w:t>on information provided in the A</w:t>
      </w:r>
      <w:r w:rsidR="005F6082">
        <w:rPr>
          <w:rFonts w:ascii="Arial" w:hAnsi="Arial"/>
          <w:sz w:val="22"/>
        </w:rPr>
        <w:t xml:space="preserve">pplication and the preliminary </w:t>
      </w:r>
      <w:r w:rsidR="00AB0D75">
        <w:rPr>
          <w:rFonts w:ascii="Arial" w:hAnsi="Arial"/>
          <w:sz w:val="22"/>
        </w:rPr>
        <w:t xml:space="preserve">building </w:t>
      </w:r>
      <w:r w:rsidR="005F6082">
        <w:rPr>
          <w:rFonts w:ascii="Arial" w:hAnsi="Arial"/>
          <w:sz w:val="22"/>
        </w:rPr>
        <w:t xml:space="preserve">plans submitted with the </w:t>
      </w:r>
      <w:r w:rsidR="002E30C5">
        <w:rPr>
          <w:rFonts w:ascii="Arial" w:hAnsi="Arial"/>
          <w:sz w:val="22"/>
        </w:rPr>
        <w:t>A</w:t>
      </w:r>
      <w:r w:rsidR="00AD4460">
        <w:rPr>
          <w:rFonts w:ascii="Arial" w:hAnsi="Arial"/>
          <w:sz w:val="22"/>
        </w:rPr>
        <w:t>pplication.  Until the project</w:t>
      </w:r>
      <w:r w:rsidR="005F6082">
        <w:rPr>
          <w:rFonts w:ascii="Arial" w:hAnsi="Arial"/>
          <w:sz w:val="22"/>
        </w:rPr>
        <w:t xml:space="preserve"> is placed </w:t>
      </w:r>
      <w:r w:rsidR="00AD4460">
        <w:rPr>
          <w:rFonts w:ascii="Arial" w:hAnsi="Arial"/>
          <w:sz w:val="22"/>
        </w:rPr>
        <w:t>in service, any material change</w:t>
      </w:r>
      <w:r w:rsidR="00203C99">
        <w:rPr>
          <w:rFonts w:ascii="Arial" w:hAnsi="Arial"/>
          <w:sz w:val="22"/>
        </w:rPr>
        <w:t xml:space="preserve"> in </w:t>
      </w:r>
      <w:r w:rsidR="005F6082">
        <w:rPr>
          <w:rFonts w:ascii="Arial" w:hAnsi="Arial"/>
          <w:sz w:val="22"/>
        </w:rPr>
        <w:t>the project or build</w:t>
      </w:r>
      <w:r w:rsidR="006E0953">
        <w:rPr>
          <w:rFonts w:ascii="Arial" w:hAnsi="Arial"/>
          <w:sz w:val="22"/>
        </w:rPr>
        <w:t>ing design as submitted in the A</w:t>
      </w:r>
      <w:r w:rsidR="005F6082">
        <w:rPr>
          <w:rFonts w:ascii="Arial" w:hAnsi="Arial"/>
          <w:sz w:val="22"/>
        </w:rPr>
        <w:t xml:space="preserve">pplication </w:t>
      </w:r>
      <w:r w:rsidR="00AD4460">
        <w:rPr>
          <w:rFonts w:ascii="Arial" w:hAnsi="Arial"/>
          <w:sz w:val="22"/>
        </w:rPr>
        <w:t xml:space="preserve">will </w:t>
      </w:r>
      <w:r w:rsidR="005F6082">
        <w:rPr>
          <w:rFonts w:ascii="Arial" w:hAnsi="Arial"/>
          <w:sz w:val="22"/>
        </w:rPr>
        <w:t xml:space="preserve">require </w:t>
      </w:r>
      <w:r w:rsidR="00406EEC">
        <w:rPr>
          <w:rFonts w:ascii="Arial" w:hAnsi="Arial"/>
          <w:sz w:val="22"/>
        </w:rPr>
        <w:t>C</w:t>
      </w:r>
      <w:r w:rsidR="00350A65" w:rsidRPr="00406EEC">
        <w:rPr>
          <w:rFonts w:ascii="Arial" w:hAnsi="Arial"/>
          <w:sz w:val="22"/>
        </w:rPr>
        <w:t>PED</w:t>
      </w:r>
      <w:r w:rsidR="005F6082">
        <w:rPr>
          <w:rFonts w:ascii="Arial" w:hAnsi="Arial"/>
          <w:sz w:val="22"/>
        </w:rPr>
        <w:t xml:space="preserve"> or HRA</w:t>
      </w:r>
      <w:r w:rsidR="006C5C9A">
        <w:rPr>
          <w:rFonts w:ascii="Arial" w:hAnsi="Arial"/>
          <w:sz w:val="22"/>
        </w:rPr>
        <w:t>’s review and approval</w:t>
      </w:r>
      <w:r w:rsidR="005F6082">
        <w:rPr>
          <w:rFonts w:ascii="Arial" w:hAnsi="Arial"/>
          <w:sz w:val="22"/>
        </w:rPr>
        <w:t>, as applicable, and the Board</w:t>
      </w:r>
      <w:r w:rsidR="00AD4460">
        <w:rPr>
          <w:rFonts w:ascii="Arial" w:hAnsi="Arial"/>
          <w:sz w:val="22"/>
        </w:rPr>
        <w:t>’s</w:t>
      </w:r>
      <w:r w:rsidR="00AB0D75">
        <w:rPr>
          <w:rFonts w:ascii="Arial" w:hAnsi="Arial"/>
          <w:sz w:val="22"/>
        </w:rPr>
        <w:t xml:space="preserve"> review and approval</w:t>
      </w:r>
      <w:r w:rsidR="006535B4">
        <w:rPr>
          <w:rFonts w:ascii="Arial" w:hAnsi="Arial"/>
          <w:sz w:val="22"/>
        </w:rPr>
        <w:t>.</w:t>
      </w:r>
    </w:p>
    <w:p w:rsidR="00284AA0" w:rsidRDefault="00284A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84AA0" w:rsidRDefault="00284A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AB0D75">
        <w:rPr>
          <w:rFonts w:ascii="Arial" w:hAnsi="Arial"/>
          <w:sz w:val="22"/>
          <w:u w:val="single"/>
        </w:rPr>
        <w:t>For Minneapolis projects</w:t>
      </w:r>
      <w:r>
        <w:rPr>
          <w:rFonts w:ascii="Arial" w:hAnsi="Arial"/>
          <w:sz w:val="22"/>
        </w:rPr>
        <w:t>:</w:t>
      </w:r>
      <w:r w:rsidR="00947D8F">
        <w:rPr>
          <w:rFonts w:ascii="Arial" w:hAnsi="Arial"/>
          <w:sz w:val="22"/>
        </w:rPr>
        <w:t xml:space="preserve"> </w:t>
      </w:r>
      <w:r w:rsidR="00947D8F" w:rsidRPr="00947D8F">
        <w:rPr>
          <w:rFonts w:ascii="Arial" w:hAnsi="Arial"/>
          <w:sz w:val="22"/>
        </w:rPr>
        <w:t>a</w:t>
      </w:r>
      <w:r w:rsidR="006535B4" w:rsidRPr="00947D8F">
        <w:rPr>
          <w:rFonts w:ascii="Arial" w:hAnsi="Arial"/>
          <w:sz w:val="22"/>
        </w:rPr>
        <w:t xml:space="preserve">ny </w:t>
      </w:r>
      <w:r w:rsidR="006E73E0" w:rsidRPr="00947D8F">
        <w:rPr>
          <w:rFonts w:ascii="Arial" w:hAnsi="Arial"/>
          <w:sz w:val="22"/>
        </w:rPr>
        <w:t xml:space="preserve">material </w:t>
      </w:r>
      <w:r w:rsidR="00AB0D75">
        <w:rPr>
          <w:rFonts w:ascii="Arial" w:hAnsi="Arial"/>
          <w:sz w:val="22"/>
        </w:rPr>
        <w:t xml:space="preserve">project </w:t>
      </w:r>
      <w:r w:rsidR="001A6D81">
        <w:rPr>
          <w:rFonts w:ascii="Arial" w:hAnsi="Arial"/>
          <w:sz w:val="22"/>
        </w:rPr>
        <w:t xml:space="preserve">change </w:t>
      </w:r>
      <w:r w:rsidR="006535B4" w:rsidRPr="00947D8F">
        <w:rPr>
          <w:rFonts w:ascii="Arial" w:hAnsi="Arial"/>
          <w:sz w:val="22"/>
        </w:rPr>
        <w:t xml:space="preserve">not been previously approved by CPED </w:t>
      </w:r>
      <w:r w:rsidR="00AB0D75">
        <w:rPr>
          <w:rFonts w:ascii="Arial" w:hAnsi="Arial"/>
          <w:sz w:val="22"/>
        </w:rPr>
        <w:t>may r</w:t>
      </w:r>
      <w:r w:rsidR="006535B4" w:rsidRPr="00947D8F">
        <w:rPr>
          <w:rFonts w:ascii="Arial" w:hAnsi="Arial"/>
          <w:sz w:val="22"/>
        </w:rPr>
        <w:t xml:space="preserve">esult in loss of </w:t>
      </w:r>
      <w:r w:rsidR="00600022">
        <w:rPr>
          <w:rFonts w:ascii="Arial" w:hAnsi="Arial" w:cs="Arial"/>
          <w:sz w:val="22"/>
          <w:szCs w:val="22"/>
        </w:rPr>
        <w:t xml:space="preserve">HTC </w:t>
      </w:r>
      <w:r w:rsidR="006535B4" w:rsidRPr="00947D8F">
        <w:rPr>
          <w:rFonts w:ascii="Arial" w:hAnsi="Arial"/>
          <w:sz w:val="22"/>
        </w:rPr>
        <w:t xml:space="preserve">up to the full amount of the allocation as well as the assessment of </w:t>
      </w:r>
      <w:r w:rsidR="00AD4460">
        <w:rPr>
          <w:rFonts w:ascii="Arial" w:hAnsi="Arial"/>
          <w:sz w:val="22"/>
        </w:rPr>
        <w:t>up to 25 negative</w:t>
      </w:r>
      <w:r w:rsidR="006535B4" w:rsidRPr="00947D8F">
        <w:rPr>
          <w:rFonts w:ascii="Arial" w:hAnsi="Arial"/>
          <w:sz w:val="22"/>
        </w:rPr>
        <w:t xml:space="preserve"> points to th</w:t>
      </w:r>
      <w:r w:rsidR="002F772F">
        <w:rPr>
          <w:rFonts w:ascii="Arial" w:hAnsi="Arial"/>
          <w:sz w:val="22"/>
        </w:rPr>
        <w:t xml:space="preserve">e ownership/developer </w:t>
      </w:r>
      <w:r w:rsidR="006535B4" w:rsidRPr="00947D8F">
        <w:rPr>
          <w:rFonts w:ascii="Arial" w:hAnsi="Arial"/>
          <w:sz w:val="22"/>
        </w:rPr>
        <w:t xml:space="preserve">for </w:t>
      </w:r>
      <w:r w:rsidR="00AB0D75">
        <w:rPr>
          <w:rFonts w:ascii="Arial" w:hAnsi="Arial"/>
          <w:sz w:val="22"/>
        </w:rPr>
        <w:t xml:space="preserve">the next </w:t>
      </w:r>
      <w:r w:rsidR="006535B4" w:rsidRPr="00947D8F">
        <w:rPr>
          <w:rFonts w:ascii="Arial" w:hAnsi="Arial"/>
          <w:sz w:val="22"/>
        </w:rPr>
        <w:t xml:space="preserve">four </w:t>
      </w:r>
      <w:r w:rsidR="00AB0D75">
        <w:rPr>
          <w:rFonts w:ascii="Arial" w:hAnsi="Arial"/>
          <w:sz w:val="22"/>
        </w:rPr>
        <w:t xml:space="preserve">(4) </w:t>
      </w:r>
      <w:r w:rsidR="006535B4" w:rsidRPr="00947D8F">
        <w:rPr>
          <w:rFonts w:ascii="Arial" w:hAnsi="Arial"/>
          <w:sz w:val="22"/>
        </w:rPr>
        <w:t>funding rounds.</w:t>
      </w:r>
    </w:p>
    <w:p w:rsidR="00284AA0" w:rsidRDefault="00284A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84AA0" w:rsidRPr="00947D8F" w:rsidRDefault="00284AA0" w:rsidP="00284A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AB0D75">
        <w:rPr>
          <w:rFonts w:ascii="Arial" w:hAnsi="Arial"/>
          <w:sz w:val="22"/>
          <w:u w:val="single"/>
        </w:rPr>
        <w:t>For Saint Paul projects</w:t>
      </w:r>
      <w:r w:rsidRPr="00947D8F">
        <w:rPr>
          <w:rFonts w:ascii="Arial" w:hAnsi="Arial"/>
          <w:sz w:val="22"/>
        </w:rPr>
        <w:t xml:space="preserve">: </w:t>
      </w:r>
      <w:r>
        <w:rPr>
          <w:rFonts w:ascii="Arial" w:hAnsi="Arial"/>
          <w:sz w:val="22"/>
        </w:rPr>
        <w:t>u</w:t>
      </w:r>
      <w:r w:rsidRPr="00947D8F">
        <w:rPr>
          <w:rFonts w:ascii="Arial" w:hAnsi="Arial"/>
          <w:sz w:val="22"/>
        </w:rPr>
        <w:t xml:space="preserve">pon notice of any material change without </w:t>
      </w:r>
      <w:r w:rsidR="00AB0D75">
        <w:rPr>
          <w:rFonts w:ascii="Arial" w:hAnsi="Arial"/>
          <w:sz w:val="22"/>
        </w:rPr>
        <w:t xml:space="preserve">prior </w:t>
      </w:r>
      <w:r w:rsidRPr="00947D8F">
        <w:rPr>
          <w:rFonts w:ascii="Arial" w:hAnsi="Arial"/>
          <w:sz w:val="22"/>
        </w:rPr>
        <w:t>HRA approval, HRA reserves the right to determine that all p</w:t>
      </w:r>
      <w:r w:rsidR="00AD4460">
        <w:rPr>
          <w:rFonts w:ascii="Arial" w:hAnsi="Arial"/>
          <w:sz w:val="22"/>
        </w:rPr>
        <w:t xml:space="preserve">arties involved with the </w:t>
      </w:r>
      <w:r w:rsidRPr="00947D8F">
        <w:rPr>
          <w:rFonts w:ascii="Arial" w:hAnsi="Arial"/>
          <w:sz w:val="22"/>
        </w:rPr>
        <w:t xml:space="preserve"> material c</w:t>
      </w:r>
      <w:r w:rsidR="00AD4460">
        <w:rPr>
          <w:rFonts w:ascii="Arial" w:hAnsi="Arial"/>
          <w:sz w:val="22"/>
        </w:rPr>
        <w:t>hange</w:t>
      </w:r>
      <w:r w:rsidR="00623EFF">
        <w:rPr>
          <w:rFonts w:ascii="Arial" w:hAnsi="Arial"/>
          <w:sz w:val="22"/>
        </w:rPr>
        <w:t xml:space="preserve"> will not be eligible to </w:t>
      </w:r>
      <w:r w:rsidRPr="00947D8F">
        <w:rPr>
          <w:rFonts w:ascii="Arial" w:hAnsi="Arial"/>
          <w:sz w:val="22"/>
        </w:rPr>
        <w:t xml:space="preserve">participation in the </w:t>
      </w:r>
      <w:r w:rsidR="00BD7596">
        <w:rPr>
          <w:rFonts w:ascii="Arial" w:hAnsi="Arial"/>
          <w:sz w:val="22"/>
        </w:rPr>
        <w:t>HTC</w:t>
      </w:r>
      <w:r w:rsidR="00623EFF">
        <w:rPr>
          <w:rFonts w:ascii="Arial" w:hAnsi="Arial"/>
          <w:sz w:val="22"/>
        </w:rPr>
        <w:t xml:space="preserve"> P</w:t>
      </w:r>
      <w:r w:rsidR="002F772F">
        <w:rPr>
          <w:rFonts w:ascii="Arial" w:hAnsi="Arial"/>
          <w:sz w:val="22"/>
        </w:rPr>
        <w:t>rogram for Saint Paul</w:t>
      </w:r>
      <w:r w:rsidRPr="00947D8F">
        <w:rPr>
          <w:rFonts w:ascii="Arial" w:hAnsi="Arial"/>
          <w:sz w:val="22"/>
        </w:rPr>
        <w:t xml:space="preserve"> for up to five </w:t>
      </w:r>
      <w:r w:rsidR="00623EFF">
        <w:rPr>
          <w:rFonts w:ascii="Arial" w:hAnsi="Arial"/>
          <w:sz w:val="22"/>
        </w:rPr>
        <w:t xml:space="preserve">(5) </w:t>
      </w:r>
      <w:r w:rsidRPr="00947D8F">
        <w:rPr>
          <w:rFonts w:ascii="Arial" w:hAnsi="Arial"/>
          <w:sz w:val="22"/>
        </w:rPr>
        <w:t>years.</w:t>
      </w:r>
    </w:p>
    <w:p w:rsidR="006535B4" w:rsidRPr="00947D8F" w:rsidRDefault="006535B4" w:rsidP="00284AA0">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6535B4" w:rsidRPr="00947D8F" w:rsidRDefault="006535B4"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b/>
          <w:sz w:val="22"/>
        </w:rPr>
      </w:pPr>
      <w:r w:rsidRPr="00947D8F">
        <w:rPr>
          <w:rFonts w:ascii="Arial" w:hAnsi="Arial"/>
          <w:b/>
          <w:sz w:val="22"/>
        </w:rPr>
        <w:t>Repeated Non-Compliance with Fair Housing Policies, Procedures</w:t>
      </w:r>
    </w:p>
    <w:p w:rsidR="006535B4" w:rsidRPr="00CB3DB3" w:rsidRDefault="006535B4"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947D8F">
        <w:rPr>
          <w:rFonts w:ascii="Arial" w:hAnsi="Arial"/>
          <w:b/>
          <w:sz w:val="22"/>
        </w:rPr>
        <w:t>and/or Requirements</w:t>
      </w:r>
    </w:p>
    <w:p w:rsidR="00284AA0" w:rsidRPr="00CB3DB3" w:rsidRDefault="00284AA0"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6535B4" w:rsidRPr="00947D8F" w:rsidRDefault="00284AA0"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623EFF">
        <w:rPr>
          <w:rFonts w:ascii="Arial" w:hAnsi="Arial"/>
          <w:sz w:val="22"/>
          <w:u w:val="single"/>
        </w:rPr>
        <w:t>For Minneapolis projects</w:t>
      </w:r>
      <w:r>
        <w:rPr>
          <w:rFonts w:ascii="Arial" w:hAnsi="Arial"/>
          <w:sz w:val="22"/>
        </w:rPr>
        <w:t xml:space="preserve">: </w:t>
      </w:r>
      <w:r w:rsidR="006535B4" w:rsidRPr="00947D8F">
        <w:rPr>
          <w:rFonts w:ascii="Arial" w:hAnsi="Arial"/>
          <w:sz w:val="22"/>
        </w:rPr>
        <w:t xml:space="preserve">Repeated failure to comply with CPED’s Fair Housing policies, procedures, or requirements </w:t>
      </w:r>
      <w:r>
        <w:rPr>
          <w:rFonts w:ascii="Arial" w:hAnsi="Arial"/>
          <w:sz w:val="22"/>
        </w:rPr>
        <w:t xml:space="preserve">at all times </w:t>
      </w:r>
      <w:r w:rsidR="006535B4" w:rsidRPr="00947D8F">
        <w:rPr>
          <w:rFonts w:ascii="Arial" w:hAnsi="Arial"/>
          <w:sz w:val="22"/>
        </w:rPr>
        <w:t>will be pen</w:t>
      </w:r>
      <w:r w:rsidR="002F772F">
        <w:rPr>
          <w:rFonts w:ascii="Arial" w:hAnsi="Arial"/>
          <w:sz w:val="22"/>
        </w:rPr>
        <w:t xml:space="preserve">alized. CPED will assess up to </w:t>
      </w:r>
      <w:r w:rsidR="006535B4" w:rsidRPr="00947D8F">
        <w:rPr>
          <w:rFonts w:ascii="Arial" w:hAnsi="Arial"/>
          <w:sz w:val="22"/>
        </w:rPr>
        <w:t xml:space="preserve">25 </w:t>
      </w:r>
      <w:r w:rsidR="002F772F">
        <w:rPr>
          <w:rFonts w:ascii="Arial" w:hAnsi="Arial"/>
          <w:sz w:val="22"/>
        </w:rPr>
        <w:t>negative point</w:t>
      </w:r>
      <w:r w:rsidR="006C5C9A">
        <w:rPr>
          <w:rFonts w:ascii="Arial" w:hAnsi="Arial"/>
          <w:sz w:val="22"/>
        </w:rPr>
        <w:t>s</w:t>
      </w:r>
      <w:r w:rsidR="002F772F">
        <w:rPr>
          <w:rFonts w:ascii="Arial" w:hAnsi="Arial"/>
          <w:sz w:val="22"/>
        </w:rPr>
        <w:t xml:space="preserve"> </w:t>
      </w:r>
      <w:r w:rsidR="006535B4" w:rsidRPr="00947D8F">
        <w:rPr>
          <w:rFonts w:ascii="Arial" w:hAnsi="Arial"/>
          <w:sz w:val="22"/>
        </w:rPr>
        <w:t xml:space="preserve">on future </w:t>
      </w:r>
      <w:r w:rsidR="002F772F">
        <w:rPr>
          <w:rFonts w:ascii="Arial" w:hAnsi="Arial"/>
          <w:sz w:val="22"/>
        </w:rPr>
        <w:t xml:space="preserve">HTC applications for </w:t>
      </w:r>
      <w:r w:rsidR="006535B4" w:rsidRPr="00947D8F">
        <w:rPr>
          <w:rFonts w:ascii="Arial" w:hAnsi="Arial"/>
          <w:sz w:val="22"/>
        </w:rPr>
        <w:t xml:space="preserve">all parties involved in </w:t>
      </w:r>
      <w:r w:rsidR="001A6D81">
        <w:rPr>
          <w:rFonts w:ascii="Arial" w:hAnsi="Arial"/>
          <w:sz w:val="22"/>
        </w:rPr>
        <w:t xml:space="preserve">the </w:t>
      </w:r>
      <w:r w:rsidR="002F772F">
        <w:rPr>
          <w:rFonts w:ascii="Arial" w:hAnsi="Arial"/>
          <w:sz w:val="22"/>
        </w:rPr>
        <w:t>ownership and/or management of</w:t>
      </w:r>
      <w:r w:rsidR="006535B4" w:rsidRPr="00947D8F">
        <w:rPr>
          <w:rFonts w:ascii="Arial" w:hAnsi="Arial"/>
          <w:sz w:val="22"/>
        </w:rPr>
        <w:t xml:space="preserve"> the </w:t>
      </w:r>
      <w:r w:rsidR="002F772F">
        <w:rPr>
          <w:rFonts w:ascii="Arial" w:hAnsi="Arial"/>
          <w:sz w:val="22"/>
        </w:rPr>
        <w:t>project. Negative point assessment</w:t>
      </w:r>
      <w:r w:rsidR="001A6D81">
        <w:rPr>
          <w:rFonts w:ascii="Arial" w:hAnsi="Arial"/>
          <w:sz w:val="22"/>
        </w:rPr>
        <w:t>s</w:t>
      </w:r>
      <w:r w:rsidR="002F772F">
        <w:rPr>
          <w:rFonts w:ascii="Arial" w:hAnsi="Arial"/>
          <w:sz w:val="22"/>
        </w:rPr>
        <w:t xml:space="preserve"> </w:t>
      </w:r>
      <w:r w:rsidR="006535B4" w:rsidRPr="00947D8F">
        <w:rPr>
          <w:rFonts w:ascii="Arial" w:hAnsi="Arial"/>
          <w:sz w:val="22"/>
        </w:rPr>
        <w:t xml:space="preserve">will be in effect for </w:t>
      </w:r>
      <w:r w:rsidR="006C5C9A">
        <w:rPr>
          <w:rFonts w:ascii="Arial" w:hAnsi="Arial"/>
          <w:sz w:val="22"/>
        </w:rPr>
        <w:t xml:space="preserve">the next </w:t>
      </w:r>
      <w:r w:rsidR="006535B4" w:rsidRPr="00947D8F">
        <w:rPr>
          <w:rFonts w:ascii="Arial" w:hAnsi="Arial"/>
          <w:sz w:val="22"/>
        </w:rPr>
        <w:t xml:space="preserve">four </w:t>
      </w:r>
      <w:r w:rsidR="002F772F">
        <w:rPr>
          <w:rFonts w:ascii="Arial" w:hAnsi="Arial"/>
          <w:sz w:val="22"/>
        </w:rPr>
        <w:t xml:space="preserve">(4) </w:t>
      </w:r>
      <w:r w:rsidR="006535B4" w:rsidRPr="00947D8F">
        <w:rPr>
          <w:rFonts w:ascii="Arial" w:hAnsi="Arial"/>
          <w:sz w:val="22"/>
        </w:rPr>
        <w:t>funding rounds following notification of the assessment of the negative points</w:t>
      </w:r>
      <w:r w:rsidR="00893243">
        <w:rPr>
          <w:rFonts w:ascii="Arial" w:hAnsi="Arial"/>
          <w:sz w:val="22"/>
        </w:rPr>
        <w:t xml:space="preserve"> by</w:t>
      </w:r>
      <w:r w:rsidR="00406EEC">
        <w:rPr>
          <w:rFonts w:ascii="Arial" w:hAnsi="Arial"/>
          <w:sz w:val="22"/>
        </w:rPr>
        <w:t xml:space="preserve"> CPED. This also applies to 4% </w:t>
      </w:r>
      <w:r w:rsidR="00893243">
        <w:rPr>
          <w:rFonts w:ascii="Arial" w:hAnsi="Arial"/>
          <w:sz w:val="22"/>
        </w:rPr>
        <w:t>HTC</w:t>
      </w:r>
      <w:r w:rsidR="006535B4" w:rsidRPr="00947D8F">
        <w:rPr>
          <w:rFonts w:ascii="Arial" w:hAnsi="Arial"/>
          <w:sz w:val="22"/>
        </w:rPr>
        <w:t xml:space="preserve"> projects, owners, and managers.</w:t>
      </w:r>
    </w:p>
    <w:p w:rsidR="00947D8F" w:rsidRDefault="00947D8F"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84AA0" w:rsidRPr="00461091" w:rsidRDefault="00284AA0" w:rsidP="006535B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623EFF">
        <w:rPr>
          <w:rFonts w:ascii="Arial" w:hAnsi="Arial"/>
          <w:sz w:val="22"/>
          <w:u w:val="single"/>
        </w:rPr>
        <w:t>For Saint Paul projects</w:t>
      </w:r>
      <w:r w:rsidRPr="00461091">
        <w:rPr>
          <w:rFonts w:ascii="Arial" w:hAnsi="Arial"/>
          <w:sz w:val="22"/>
        </w:rPr>
        <w:t xml:space="preserve">: </w:t>
      </w:r>
      <w:r w:rsidR="001A6D81">
        <w:rPr>
          <w:rFonts w:ascii="Arial" w:hAnsi="Arial"/>
          <w:sz w:val="22"/>
        </w:rPr>
        <w:t xml:space="preserve"> A</w:t>
      </w:r>
      <w:r w:rsidRPr="00461091">
        <w:rPr>
          <w:rFonts w:ascii="Arial" w:hAnsi="Arial"/>
          <w:sz w:val="22"/>
        </w:rPr>
        <w:t xml:space="preserve">ll projects must </w:t>
      </w:r>
      <w:r w:rsidR="001A6D81" w:rsidRPr="00461091">
        <w:rPr>
          <w:rFonts w:ascii="Arial" w:hAnsi="Arial"/>
          <w:sz w:val="22"/>
        </w:rPr>
        <w:t>at all times</w:t>
      </w:r>
      <w:r w:rsidR="001A6D81">
        <w:rPr>
          <w:rFonts w:ascii="Arial" w:hAnsi="Arial"/>
          <w:sz w:val="22"/>
        </w:rPr>
        <w:t xml:space="preserve"> </w:t>
      </w:r>
      <w:r w:rsidRPr="00461091">
        <w:rPr>
          <w:rFonts w:ascii="Arial" w:hAnsi="Arial"/>
          <w:sz w:val="22"/>
        </w:rPr>
        <w:t>affirmatively further fair housing by complying with federal, state, local laws, rules, regulations, including Section 183 of the Saint Paul Legislative Code. Upon notice of repeated non-compliance with fair ho</w:t>
      </w:r>
      <w:r w:rsidR="002F772F">
        <w:rPr>
          <w:rFonts w:ascii="Arial" w:hAnsi="Arial"/>
          <w:sz w:val="22"/>
        </w:rPr>
        <w:t xml:space="preserve">using laws and regulations, </w:t>
      </w:r>
      <w:r w:rsidRPr="00461091">
        <w:rPr>
          <w:rFonts w:ascii="Arial" w:hAnsi="Arial"/>
          <w:sz w:val="22"/>
        </w:rPr>
        <w:t xml:space="preserve">HRA, acting on behalf of the </w:t>
      </w:r>
      <w:r w:rsidR="00CB3DB3">
        <w:rPr>
          <w:rFonts w:ascii="Arial" w:hAnsi="Arial"/>
          <w:sz w:val="22"/>
        </w:rPr>
        <w:t>Board, res</w:t>
      </w:r>
      <w:r w:rsidRPr="00461091">
        <w:rPr>
          <w:rFonts w:ascii="Arial" w:hAnsi="Arial"/>
          <w:sz w:val="22"/>
        </w:rPr>
        <w:t xml:space="preserve">erves the right to determine that all parties involved with the project will not be eligible </w:t>
      </w:r>
      <w:r w:rsidR="00406EEC">
        <w:rPr>
          <w:rFonts w:ascii="Arial" w:hAnsi="Arial"/>
          <w:sz w:val="22"/>
        </w:rPr>
        <w:t xml:space="preserve">to participate in the </w:t>
      </w:r>
      <w:r w:rsidR="002F772F">
        <w:rPr>
          <w:rFonts w:ascii="Arial" w:hAnsi="Arial"/>
          <w:sz w:val="22"/>
        </w:rPr>
        <w:t xml:space="preserve">HTC Program </w:t>
      </w:r>
      <w:r w:rsidR="00D60AD3">
        <w:rPr>
          <w:rFonts w:ascii="Arial" w:hAnsi="Arial"/>
          <w:sz w:val="22"/>
        </w:rPr>
        <w:t xml:space="preserve">for </w:t>
      </w:r>
      <w:r w:rsidR="00CB3DB3">
        <w:rPr>
          <w:rFonts w:ascii="Arial" w:hAnsi="Arial"/>
          <w:sz w:val="22"/>
        </w:rPr>
        <w:t xml:space="preserve">projects to be located in </w:t>
      </w:r>
      <w:r w:rsidR="00D60AD3">
        <w:rPr>
          <w:rFonts w:ascii="Arial" w:hAnsi="Arial"/>
          <w:sz w:val="22"/>
        </w:rPr>
        <w:t xml:space="preserve">Saint Paul </w:t>
      </w:r>
      <w:r w:rsidR="002F772F">
        <w:rPr>
          <w:rFonts w:ascii="Arial" w:hAnsi="Arial"/>
          <w:sz w:val="22"/>
        </w:rPr>
        <w:t xml:space="preserve">for </w:t>
      </w:r>
      <w:r w:rsidRPr="00461091">
        <w:rPr>
          <w:rFonts w:ascii="Arial" w:hAnsi="Arial"/>
          <w:sz w:val="22"/>
        </w:rPr>
        <w:t xml:space="preserve">up to five </w:t>
      </w:r>
      <w:r w:rsidR="002F772F">
        <w:rPr>
          <w:rFonts w:ascii="Arial" w:hAnsi="Arial"/>
          <w:sz w:val="22"/>
        </w:rPr>
        <w:t xml:space="preserve">(5) </w:t>
      </w:r>
      <w:r w:rsidRPr="00461091">
        <w:rPr>
          <w:rFonts w:ascii="Arial" w:hAnsi="Arial"/>
          <w:sz w:val="22"/>
        </w:rPr>
        <w:t>years.</w:t>
      </w:r>
    </w:p>
    <w:p w:rsidR="005F6082" w:rsidRPr="00E03091" w:rsidRDefault="005F6082" w:rsidP="008D31A1">
      <w:pPr>
        <w:pStyle w:val="Heading2"/>
        <w:spacing w:after="0"/>
        <w:ind w:left="720"/>
        <w:rPr>
          <w:rFonts w:ascii="Arial" w:hAnsi="Arial"/>
          <w:i w:val="0"/>
          <w:sz w:val="22"/>
        </w:rPr>
      </w:pPr>
      <w:bookmarkStart w:id="10" w:name="_Toc511902989"/>
      <w:r w:rsidRPr="00461091">
        <w:rPr>
          <w:rFonts w:ascii="Arial" w:hAnsi="Arial"/>
          <w:i w:val="0"/>
          <w:sz w:val="22"/>
        </w:rPr>
        <w:t>F.</w:t>
      </w:r>
      <w:r w:rsidRPr="00461091">
        <w:rPr>
          <w:rFonts w:ascii="Arial" w:hAnsi="Arial"/>
          <w:i w:val="0"/>
          <w:sz w:val="22"/>
        </w:rPr>
        <w:tab/>
        <w:t>Identity of Interest</w:t>
      </w:r>
      <w:r w:rsidRPr="00461091">
        <w:rPr>
          <w:rFonts w:ascii="Arial" w:hAnsi="Arial"/>
          <w:i w:val="0"/>
          <w:sz w:val="22"/>
        </w:rPr>
        <w:fldChar w:fldCharType="begin"/>
      </w:r>
      <w:r w:rsidRPr="00461091">
        <w:rPr>
          <w:rFonts w:ascii="Arial" w:hAnsi="Arial"/>
          <w:i w:val="0"/>
          <w:sz w:val="22"/>
        </w:rPr>
        <w:instrText>tc \l2 "F.</w:instrText>
      </w:r>
      <w:r w:rsidRPr="00461091">
        <w:rPr>
          <w:rFonts w:ascii="Arial" w:hAnsi="Arial"/>
          <w:i w:val="0"/>
          <w:sz w:val="22"/>
        </w:rPr>
        <w:tab/>
        <w:instrText>Identity of Interest</w:instrText>
      </w:r>
      <w:r w:rsidRPr="00461091">
        <w:rPr>
          <w:rFonts w:ascii="Arial" w:hAnsi="Arial"/>
          <w:i w:val="0"/>
          <w:sz w:val="22"/>
        </w:rPr>
        <w:fldChar w:fldCharType="end"/>
      </w:r>
      <w:bookmarkEnd w:id="10"/>
    </w:p>
    <w:p w:rsidR="008D31A1" w:rsidRDefault="008D31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85A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applicant, and any other parties involved with the project, </w:t>
      </w:r>
      <w:r w:rsidR="005F6082">
        <w:rPr>
          <w:rFonts w:ascii="Arial" w:hAnsi="Arial"/>
          <w:sz w:val="22"/>
        </w:rPr>
        <w:t>must disclose</w:t>
      </w:r>
      <w:r w:rsidR="00602D0D">
        <w:rPr>
          <w:rFonts w:ascii="Arial" w:hAnsi="Arial"/>
          <w:sz w:val="22"/>
        </w:rPr>
        <w:t xml:space="preserve"> in the A</w:t>
      </w:r>
      <w:r>
        <w:rPr>
          <w:rFonts w:ascii="Arial" w:hAnsi="Arial"/>
          <w:sz w:val="22"/>
        </w:rPr>
        <w:t>pplication</w:t>
      </w:r>
      <w:r w:rsidR="005F6082">
        <w:rPr>
          <w:rFonts w:ascii="Arial" w:hAnsi="Arial"/>
          <w:sz w:val="22"/>
        </w:rPr>
        <w:t xml:space="preserve"> any and all relationships (generally based on financial interests or family ties) </w:t>
      </w:r>
      <w:r>
        <w:rPr>
          <w:rFonts w:ascii="Arial" w:hAnsi="Arial"/>
          <w:sz w:val="22"/>
        </w:rPr>
        <w:t xml:space="preserve">or </w:t>
      </w:r>
      <w:r w:rsidR="00C61027">
        <w:rPr>
          <w:rFonts w:ascii="Arial" w:hAnsi="Arial"/>
          <w:sz w:val="22"/>
        </w:rPr>
        <w:t xml:space="preserve">other </w:t>
      </w:r>
      <w:r>
        <w:rPr>
          <w:rFonts w:ascii="Arial" w:hAnsi="Arial"/>
          <w:sz w:val="22"/>
        </w:rPr>
        <w:t xml:space="preserve">identities of interest </w:t>
      </w:r>
      <w:r w:rsidR="00C61027">
        <w:rPr>
          <w:rFonts w:ascii="Arial" w:hAnsi="Arial"/>
          <w:sz w:val="22"/>
        </w:rPr>
        <w:t xml:space="preserve">(collectively, “Identities of Interest”) </w:t>
      </w:r>
      <w:r w:rsidR="005F6082">
        <w:rPr>
          <w:rFonts w:ascii="Arial" w:hAnsi="Arial"/>
          <w:sz w:val="22"/>
        </w:rPr>
        <w:t xml:space="preserve">with </w:t>
      </w:r>
      <w:r>
        <w:rPr>
          <w:rFonts w:ascii="Arial" w:hAnsi="Arial"/>
          <w:sz w:val="22"/>
        </w:rPr>
        <w:t xml:space="preserve">any </w:t>
      </w:r>
      <w:r w:rsidR="005F6082">
        <w:rPr>
          <w:rFonts w:ascii="Arial" w:hAnsi="Arial"/>
          <w:sz w:val="22"/>
        </w:rPr>
        <w:t>other</w:t>
      </w:r>
      <w:r>
        <w:rPr>
          <w:rFonts w:ascii="Arial" w:hAnsi="Arial"/>
          <w:sz w:val="22"/>
        </w:rPr>
        <w:t xml:space="preserve"> parties </w:t>
      </w:r>
      <w:r w:rsidR="005F6082">
        <w:rPr>
          <w:rFonts w:ascii="Arial" w:hAnsi="Arial"/>
          <w:sz w:val="22"/>
        </w:rPr>
        <w:t>involved in the project.</w:t>
      </w:r>
    </w:p>
    <w:p w:rsidR="005F6082" w:rsidRPr="00E03091" w:rsidRDefault="005F6082" w:rsidP="00676FB1">
      <w:pPr>
        <w:pStyle w:val="Heading2"/>
        <w:spacing w:after="0"/>
        <w:ind w:left="720"/>
        <w:rPr>
          <w:rFonts w:ascii="Arial" w:hAnsi="Arial"/>
          <w:i w:val="0"/>
          <w:sz w:val="22"/>
        </w:rPr>
      </w:pPr>
      <w:bookmarkStart w:id="11" w:name="_Toc511902990"/>
      <w:r w:rsidRPr="00E03091">
        <w:rPr>
          <w:rFonts w:ascii="Arial" w:hAnsi="Arial"/>
          <w:i w:val="0"/>
          <w:sz w:val="22"/>
        </w:rPr>
        <w:t>G.</w:t>
      </w:r>
      <w:r w:rsidRPr="00E03091">
        <w:rPr>
          <w:rFonts w:ascii="Arial" w:hAnsi="Arial"/>
          <w:i w:val="0"/>
          <w:sz w:val="22"/>
        </w:rPr>
        <w:tab/>
        <w:t>Disclosure of Interest</w:t>
      </w:r>
      <w:r w:rsidRPr="00E03091">
        <w:rPr>
          <w:rFonts w:ascii="Arial" w:hAnsi="Arial"/>
          <w:i w:val="0"/>
          <w:sz w:val="22"/>
        </w:rPr>
        <w:fldChar w:fldCharType="begin"/>
      </w:r>
      <w:r w:rsidRPr="00E03091">
        <w:rPr>
          <w:rFonts w:ascii="Arial" w:hAnsi="Arial"/>
          <w:i w:val="0"/>
          <w:sz w:val="22"/>
        </w:rPr>
        <w:instrText>tc \l2 "G.</w:instrText>
      </w:r>
      <w:r w:rsidRPr="00E03091">
        <w:rPr>
          <w:rFonts w:ascii="Arial" w:hAnsi="Arial"/>
          <w:i w:val="0"/>
          <w:sz w:val="22"/>
        </w:rPr>
        <w:tab/>
        <w:instrText>Disclosure of Interest</w:instrText>
      </w:r>
      <w:r w:rsidRPr="00E03091">
        <w:rPr>
          <w:rFonts w:ascii="Arial" w:hAnsi="Arial"/>
          <w:i w:val="0"/>
          <w:sz w:val="22"/>
        </w:rPr>
        <w:fldChar w:fldCharType="end"/>
      </w:r>
      <w:bookmarkEnd w:id="11"/>
    </w:p>
    <w:p w:rsidR="008D31A1" w:rsidRDefault="008D31A1">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applicant must disclose </w:t>
      </w:r>
      <w:r w:rsidR="00602D0D">
        <w:rPr>
          <w:rFonts w:ascii="Arial" w:hAnsi="Arial"/>
          <w:sz w:val="22"/>
        </w:rPr>
        <w:t>in the A</w:t>
      </w:r>
      <w:r w:rsidR="00010B77">
        <w:rPr>
          <w:rFonts w:ascii="Arial" w:hAnsi="Arial"/>
          <w:sz w:val="22"/>
        </w:rPr>
        <w:t xml:space="preserve">pplication </w:t>
      </w:r>
      <w:r>
        <w:rPr>
          <w:rFonts w:ascii="Arial" w:hAnsi="Arial"/>
          <w:sz w:val="22"/>
        </w:rPr>
        <w:t>the names and addresses, including corporate officials where applicable, of all parties that have</w:t>
      </w:r>
      <w:r w:rsidR="001A6D81">
        <w:rPr>
          <w:rFonts w:ascii="Arial" w:hAnsi="Arial"/>
          <w:sz w:val="22"/>
        </w:rPr>
        <w:t xml:space="preserve"> or will have</w:t>
      </w:r>
      <w:r>
        <w:rPr>
          <w:rFonts w:ascii="Arial" w:hAnsi="Arial"/>
          <w:sz w:val="22"/>
        </w:rPr>
        <w:t xml:space="preserve"> a significant role in the </w:t>
      </w:r>
      <w:r w:rsidR="00010B77">
        <w:rPr>
          <w:rFonts w:ascii="Arial" w:hAnsi="Arial"/>
          <w:sz w:val="22"/>
        </w:rPr>
        <w:t xml:space="preserve">development and/or </w:t>
      </w:r>
      <w:r w:rsidR="00D60AD3">
        <w:rPr>
          <w:rFonts w:ascii="Arial" w:hAnsi="Arial"/>
          <w:sz w:val="22"/>
        </w:rPr>
        <w:t>operation of the project.  S</w:t>
      </w:r>
      <w:r>
        <w:rPr>
          <w:rFonts w:ascii="Arial" w:hAnsi="Arial"/>
          <w:sz w:val="22"/>
        </w:rPr>
        <w:t xml:space="preserve">ignificant parties </w:t>
      </w:r>
      <w:r w:rsidR="00010B77">
        <w:rPr>
          <w:rFonts w:ascii="Arial" w:hAnsi="Arial"/>
          <w:sz w:val="22"/>
        </w:rPr>
        <w:t>include, but are not limited to,</w:t>
      </w:r>
      <w:r>
        <w:rPr>
          <w:rFonts w:ascii="Arial" w:hAnsi="Arial"/>
          <w:sz w:val="22"/>
        </w:rPr>
        <w:t xml:space="preserve"> general partners, accountants, architects, engineers, financial consultants, </w:t>
      </w:r>
      <w:r w:rsidR="00010B77">
        <w:rPr>
          <w:rFonts w:ascii="Arial" w:hAnsi="Arial"/>
          <w:sz w:val="22"/>
        </w:rPr>
        <w:t xml:space="preserve">lawyers and </w:t>
      </w:r>
      <w:r w:rsidR="000D6D92">
        <w:rPr>
          <w:rFonts w:ascii="Arial" w:hAnsi="Arial"/>
          <w:sz w:val="22"/>
        </w:rPr>
        <w:t>any other</w:t>
      </w:r>
      <w:r>
        <w:rPr>
          <w:rFonts w:ascii="Arial" w:hAnsi="Arial"/>
          <w:sz w:val="22"/>
        </w:rPr>
        <w:t xml:space="preserve"> consultants, management agents and the general contractor</w:t>
      </w:r>
      <w:r w:rsidR="00D60AD3">
        <w:rPr>
          <w:rFonts w:ascii="Arial" w:hAnsi="Arial"/>
          <w:sz w:val="22"/>
        </w:rPr>
        <w:t xml:space="preserve"> (</w:t>
      </w:r>
      <w:r w:rsidR="00CF4966">
        <w:rPr>
          <w:rFonts w:ascii="Arial" w:hAnsi="Arial"/>
          <w:sz w:val="22"/>
        </w:rPr>
        <w:t xml:space="preserve">collectively </w:t>
      </w:r>
      <w:r w:rsidR="00D60AD3">
        <w:rPr>
          <w:rFonts w:ascii="Arial" w:hAnsi="Arial"/>
          <w:sz w:val="22"/>
        </w:rPr>
        <w:t xml:space="preserve">"Significant Parties").  </w:t>
      </w:r>
      <w:r>
        <w:rPr>
          <w:rFonts w:ascii="Arial" w:hAnsi="Arial"/>
          <w:sz w:val="22"/>
        </w:rPr>
        <w:t xml:space="preserve">  (See LIHC</w:t>
      </w:r>
      <w:r>
        <w:rPr>
          <w:rFonts w:ascii="Arial" w:hAnsi="Arial"/>
          <w:sz w:val="22"/>
        </w:rPr>
        <w:noBreakHyphen/>
        <w:t>19, Exhibit M, Development Team Resume).</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052209">
        <w:rPr>
          <w:rFonts w:ascii="Arial" w:hAnsi="Arial"/>
          <w:sz w:val="22"/>
        </w:rPr>
        <w:t>CPED</w:t>
      </w:r>
      <w:r w:rsidR="005F6082" w:rsidRPr="00052209">
        <w:rPr>
          <w:rFonts w:ascii="Arial" w:hAnsi="Arial"/>
          <w:sz w:val="22"/>
        </w:rPr>
        <w:t xml:space="preserve"> and HRA, respectively, must be satisfied that those who will own and operate the project are familiar with and </w:t>
      </w:r>
      <w:r w:rsidR="00CF4966" w:rsidRPr="00052209">
        <w:rPr>
          <w:rFonts w:ascii="Arial" w:hAnsi="Arial"/>
          <w:sz w:val="22"/>
        </w:rPr>
        <w:t xml:space="preserve">are </w:t>
      </w:r>
      <w:r w:rsidR="005F6082" w:rsidRPr="00052209">
        <w:rPr>
          <w:rFonts w:ascii="Arial" w:hAnsi="Arial"/>
          <w:sz w:val="22"/>
        </w:rPr>
        <w:t xml:space="preserve">prepared to comply with the requirements of the </w:t>
      </w:r>
      <w:r w:rsidR="00D60AD3" w:rsidRPr="00052209">
        <w:rPr>
          <w:rFonts w:ascii="Arial" w:hAnsi="Arial"/>
          <w:sz w:val="22"/>
        </w:rPr>
        <w:t>HTC P</w:t>
      </w:r>
      <w:r w:rsidR="005F6082" w:rsidRPr="00052209">
        <w:rPr>
          <w:rFonts w:ascii="Arial" w:hAnsi="Arial"/>
          <w:sz w:val="22"/>
        </w:rPr>
        <w:t>rogram.</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p>
    <w:p w:rsidR="005F6082" w:rsidRDefault="00D60A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lastRenderedPageBreak/>
        <w:t>The following S</w:t>
      </w:r>
      <w:r w:rsidR="005F6082">
        <w:rPr>
          <w:rFonts w:ascii="Arial" w:hAnsi="Arial"/>
          <w:sz w:val="22"/>
        </w:rPr>
        <w:t>ignific</w:t>
      </w:r>
      <w:r>
        <w:rPr>
          <w:rFonts w:ascii="Arial" w:hAnsi="Arial"/>
          <w:sz w:val="22"/>
        </w:rPr>
        <w:t>ant P</w:t>
      </w:r>
      <w:r w:rsidR="005F6082">
        <w:rPr>
          <w:rFonts w:ascii="Arial" w:hAnsi="Arial"/>
          <w:sz w:val="22"/>
        </w:rPr>
        <w:t xml:space="preserve">arties are ineligible to participate in the </w:t>
      </w:r>
      <w:r>
        <w:rPr>
          <w:rFonts w:ascii="Arial" w:hAnsi="Arial"/>
          <w:sz w:val="22"/>
        </w:rPr>
        <w:t xml:space="preserve">HTC </w:t>
      </w:r>
      <w:r w:rsidR="005F6082">
        <w:rPr>
          <w:rFonts w:ascii="Arial" w:hAnsi="Arial"/>
          <w:sz w:val="22"/>
        </w:rPr>
        <w:t>Program.</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5E5ED9">
        <w:rPr>
          <w:rFonts w:ascii="Arial" w:hAnsi="Arial"/>
          <w:sz w:val="22"/>
        </w:rPr>
        <w:tab/>
        <w:t>Significant P</w:t>
      </w:r>
      <w:r w:rsidR="005F6082">
        <w:rPr>
          <w:rFonts w:ascii="Arial" w:hAnsi="Arial"/>
          <w:sz w:val="22"/>
        </w:rPr>
        <w:t>arties who have been convicted of, enter an agreement fo</w:t>
      </w:r>
      <w:r w:rsidR="00010B77">
        <w:rPr>
          <w:rFonts w:ascii="Arial" w:hAnsi="Arial"/>
          <w:sz w:val="22"/>
        </w:rPr>
        <w:t>r immunity from prosecution for</w:t>
      </w:r>
      <w:r w:rsidR="005F6082">
        <w:rPr>
          <w:rFonts w:ascii="Arial" w:hAnsi="Arial"/>
          <w:sz w:val="22"/>
        </w:rPr>
        <w:t>, or plead guilty, including a plea of nolo contendere, to: a crime of dishonesty, moral turpitude, fraud, bribery, payment of illegal gratuities, perjury, false statement, racketeering, blackmail, extortion, falsification or destruction of records.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E5ED9">
        <w:rPr>
          <w:rFonts w:ascii="Arial" w:hAnsi="Arial"/>
          <w:sz w:val="22"/>
        </w:rPr>
        <w:tab/>
        <w:t>Significant P</w:t>
      </w:r>
      <w:r w:rsidR="005F6082">
        <w:rPr>
          <w:rFonts w:ascii="Arial" w:hAnsi="Arial"/>
          <w:sz w:val="22"/>
        </w:rPr>
        <w:t>arties who are currently debarred from any Minnesota pro</w:t>
      </w:r>
      <w:r w:rsidR="005E5ED9">
        <w:rPr>
          <w:rFonts w:ascii="Arial" w:hAnsi="Arial"/>
          <w:sz w:val="22"/>
        </w:rPr>
        <w:t>gram, any other state</w:t>
      </w:r>
      <w:r w:rsidR="005F6082">
        <w:rPr>
          <w:rFonts w:ascii="Arial" w:hAnsi="Arial"/>
          <w:sz w:val="22"/>
        </w:rPr>
        <w:t xml:space="preserve"> program, or an</w:t>
      </w:r>
      <w:r w:rsidR="005E5ED9">
        <w:rPr>
          <w:rFonts w:ascii="Arial" w:hAnsi="Arial"/>
          <w:sz w:val="22"/>
        </w:rPr>
        <w:t>y federal program</w:t>
      </w:r>
      <w:r w:rsidR="005F6082">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sidR="005E5ED9">
        <w:rPr>
          <w:rFonts w:ascii="Arial" w:hAnsi="Arial"/>
          <w:sz w:val="22"/>
        </w:rPr>
        <w:tab/>
        <w:t>Significant P</w:t>
      </w:r>
      <w:r w:rsidR="005F6082">
        <w:rPr>
          <w:rFonts w:ascii="Arial" w:hAnsi="Arial"/>
          <w:sz w:val="22"/>
        </w:rPr>
        <w:t xml:space="preserve">arties who have </w:t>
      </w:r>
      <w:r w:rsidR="00010B77">
        <w:rPr>
          <w:rFonts w:ascii="Arial" w:hAnsi="Arial"/>
          <w:sz w:val="22"/>
        </w:rPr>
        <w:t xml:space="preserve">been notified by CPED or HRA, as applicable, that such Significant Party is in violation of the requirements of the </w:t>
      </w:r>
      <w:r w:rsidR="00BD7596">
        <w:rPr>
          <w:rFonts w:ascii="Arial" w:hAnsi="Arial"/>
          <w:sz w:val="22"/>
        </w:rPr>
        <w:t>HTC</w:t>
      </w:r>
      <w:r w:rsidR="00010B77">
        <w:rPr>
          <w:rFonts w:ascii="Arial" w:hAnsi="Arial"/>
          <w:sz w:val="22"/>
        </w:rPr>
        <w:t xml:space="preserve"> Program.</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sidR="005E5ED9">
        <w:rPr>
          <w:rFonts w:ascii="Arial" w:hAnsi="Arial"/>
          <w:sz w:val="22"/>
        </w:rPr>
        <w:tab/>
        <w:t>Significant P</w:t>
      </w:r>
      <w:r w:rsidR="005F6082">
        <w:rPr>
          <w:rFonts w:ascii="Arial" w:hAnsi="Arial"/>
          <w:sz w:val="22"/>
        </w:rPr>
        <w:t>arties having an Identity of Interest with persons or entities falling into any of the above categories</w:t>
      </w:r>
      <w:r w:rsidR="005E5ED9">
        <w:rPr>
          <w:rFonts w:ascii="Arial" w:hAnsi="Arial"/>
          <w:sz w:val="22"/>
        </w:rPr>
        <w:t>.</w:t>
      </w:r>
    </w:p>
    <w:p w:rsidR="005F6082" w:rsidRPr="00E03091" w:rsidRDefault="0059479C" w:rsidP="00676FB1">
      <w:pPr>
        <w:pStyle w:val="Heading2"/>
        <w:spacing w:after="0"/>
        <w:ind w:left="720"/>
        <w:rPr>
          <w:rFonts w:ascii="Arial" w:hAnsi="Arial"/>
          <w:i w:val="0"/>
          <w:sz w:val="22"/>
        </w:rPr>
      </w:pPr>
      <w:bookmarkStart w:id="12" w:name="_Toc511902991"/>
      <w:r>
        <w:rPr>
          <w:rFonts w:ascii="Arial" w:hAnsi="Arial"/>
          <w:i w:val="0"/>
          <w:sz w:val="22"/>
        </w:rPr>
        <w:t>H.</w:t>
      </w:r>
      <w:r>
        <w:rPr>
          <w:rFonts w:ascii="Arial" w:hAnsi="Arial"/>
          <w:i w:val="0"/>
          <w:sz w:val="22"/>
        </w:rPr>
        <w:tab/>
        <w:t xml:space="preserve">Determination of </w:t>
      </w:r>
      <w:r w:rsidR="00BD7596">
        <w:rPr>
          <w:rFonts w:ascii="Arial" w:hAnsi="Arial"/>
          <w:i w:val="0"/>
          <w:sz w:val="22"/>
        </w:rPr>
        <w:t>HTC</w:t>
      </w:r>
      <w:r>
        <w:rPr>
          <w:rFonts w:ascii="Arial" w:hAnsi="Arial"/>
          <w:i w:val="0"/>
          <w:sz w:val="22"/>
        </w:rPr>
        <w:t xml:space="preserve"> </w:t>
      </w:r>
      <w:r w:rsidR="005F6082" w:rsidRPr="00E03091">
        <w:rPr>
          <w:rFonts w:ascii="Arial" w:hAnsi="Arial"/>
          <w:i w:val="0"/>
          <w:sz w:val="22"/>
        </w:rPr>
        <w:t>Amount</w:t>
      </w:r>
      <w:r w:rsidR="005F6082" w:rsidRPr="00E03091">
        <w:rPr>
          <w:rFonts w:ascii="Arial" w:hAnsi="Arial"/>
          <w:i w:val="0"/>
          <w:sz w:val="22"/>
        </w:rPr>
        <w:fldChar w:fldCharType="begin"/>
      </w:r>
      <w:r w:rsidR="005F6082" w:rsidRPr="00E03091">
        <w:rPr>
          <w:rFonts w:ascii="Arial" w:hAnsi="Arial"/>
          <w:i w:val="0"/>
          <w:sz w:val="22"/>
        </w:rPr>
        <w:instrText>tc \l2 "H.</w:instrText>
      </w:r>
      <w:r w:rsidR="005F6082" w:rsidRPr="00E03091">
        <w:rPr>
          <w:rFonts w:ascii="Arial" w:hAnsi="Arial"/>
          <w:i w:val="0"/>
          <w:sz w:val="22"/>
        </w:rPr>
        <w:tab/>
        <w:instrText>Determination of Credit Amount</w:instrText>
      </w:r>
      <w:r w:rsidR="005F6082" w:rsidRPr="00E03091">
        <w:rPr>
          <w:rFonts w:ascii="Arial" w:hAnsi="Arial"/>
          <w:i w:val="0"/>
          <w:sz w:val="22"/>
        </w:rPr>
        <w:fldChar w:fldCharType="end"/>
      </w:r>
      <w:bookmarkEnd w:id="12"/>
    </w:p>
    <w:p w:rsidR="00676FB1" w:rsidRDefault="00676F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C61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Pursuant to </w:t>
      </w:r>
      <w:r w:rsidR="00CF4966">
        <w:rPr>
          <w:rFonts w:ascii="Arial" w:hAnsi="Arial"/>
          <w:sz w:val="22"/>
        </w:rPr>
        <w:t>Section 42 of the Code</w:t>
      </w:r>
      <w:r w:rsidR="005F6082">
        <w:rPr>
          <w:rFonts w:ascii="Arial" w:hAnsi="Arial"/>
          <w:sz w:val="22"/>
        </w:rPr>
        <w:t xml:space="preserve">, the Board may not allocate more </w:t>
      </w:r>
      <w:r w:rsidR="00CF4966">
        <w:rPr>
          <w:rFonts w:ascii="Arial" w:hAnsi="Arial"/>
          <w:sz w:val="22"/>
        </w:rPr>
        <w:t>HTC</w:t>
      </w:r>
      <w:r w:rsidR="005F6082">
        <w:rPr>
          <w:rFonts w:ascii="Arial" w:hAnsi="Arial"/>
          <w:sz w:val="22"/>
        </w:rPr>
        <w:t xml:space="preserve"> </w:t>
      </w:r>
      <w:r>
        <w:rPr>
          <w:rFonts w:ascii="Arial" w:hAnsi="Arial"/>
          <w:sz w:val="22"/>
        </w:rPr>
        <w:t xml:space="preserve">to an applicant </w:t>
      </w:r>
      <w:r w:rsidR="005F6082">
        <w:rPr>
          <w:rFonts w:ascii="Arial" w:hAnsi="Arial"/>
          <w:sz w:val="22"/>
        </w:rPr>
        <w:t xml:space="preserve">than is necessary for the financial feasibility of the project and its viability as a qualified affordable housing project throughout the </w:t>
      </w:r>
      <w:r>
        <w:rPr>
          <w:rFonts w:ascii="Arial" w:hAnsi="Arial"/>
          <w:sz w:val="22"/>
        </w:rPr>
        <w:t>1</w:t>
      </w:r>
      <w:r w:rsidR="002648F4">
        <w:rPr>
          <w:rFonts w:ascii="Arial" w:hAnsi="Arial"/>
          <w:sz w:val="22"/>
        </w:rPr>
        <w:t>0</w:t>
      </w:r>
      <w:r>
        <w:rPr>
          <w:rFonts w:ascii="Arial" w:hAnsi="Arial"/>
          <w:sz w:val="22"/>
        </w:rPr>
        <w:t>-</w:t>
      </w:r>
      <w:r w:rsidR="00CF4966" w:rsidRPr="00052209">
        <w:rPr>
          <w:rFonts w:ascii="Arial" w:hAnsi="Arial"/>
          <w:sz w:val="22"/>
        </w:rPr>
        <w:t xml:space="preserve">year </w:t>
      </w:r>
      <w:r w:rsidR="005F6082" w:rsidRPr="00052209">
        <w:rPr>
          <w:rFonts w:ascii="Arial" w:hAnsi="Arial"/>
          <w:sz w:val="22"/>
        </w:rPr>
        <w:t>c</w:t>
      </w:r>
      <w:r w:rsidR="002648F4">
        <w:rPr>
          <w:rFonts w:ascii="Arial" w:hAnsi="Arial"/>
          <w:sz w:val="22"/>
        </w:rPr>
        <w:t>redit</w:t>
      </w:r>
      <w:r w:rsidR="005F6082" w:rsidRPr="00052209">
        <w:rPr>
          <w:rFonts w:ascii="Arial" w:hAnsi="Arial"/>
          <w:sz w:val="22"/>
        </w:rPr>
        <w:t xml:space="preserve"> period</w:t>
      </w:r>
      <w:r w:rsidR="005F6082">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0522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All applications for </w:t>
      </w:r>
      <w:r w:rsidR="00C61027">
        <w:rPr>
          <w:rFonts w:ascii="Arial" w:hAnsi="Arial"/>
          <w:sz w:val="22"/>
        </w:rPr>
        <w:t xml:space="preserve">HTCs must </w:t>
      </w:r>
      <w:r w:rsidR="001A6D81">
        <w:rPr>
          <w:rFonts w:ascii="Arial" w:hAnsi="Arial"/>
          <w:sz w:val="22"/>
        </w:rPr>
        <w:t>meet</w:t>
      </w:r>
      <w:r w:rsidR="005F6082">
        <w:rPr>
          <w:rFonts w:ascii="Arial" w:hAnsi="Arial"/>
          <w:sz w:val="22"/>
        </w:rPr>
        <w:t xml:space="preserve"> the</w:t>
      </w:r>
      <w:r w:rsidR="00F23A7F">
        <w:rPr>
          <w:rFonts w:ascii="Arial" w:hAnsi="Arial"/>
          <w:sz w:val="22"/>
        </w:rPr>
        <w:t xml:space="preserve"> threshold requirements set forth in the QAP</w:t>
      </w:r>
      <w:r w:rsidR="00CA743E">
        <w:rPr>
          <w:rFonts w:ascii="Arial" w:hAnsi="Arial"/>
          <w:sz w:val="22"/>
        </w:rPr>
        <w:t xml:space="preserve"> </w:t>
      </w:r>
      <w:r>
        <w:rPr>
          <w:rFonts w:ascii="Arial" w:hAnsi="Arial"/>
          <w:sz w:val="22"/>
        </w:rPr>
        <w:t xml:space="preserve">in order to be considered for </w:t>
      </w:r>
      <w:r w:rsidR="00CA743E">
        <w:rPr>
          <w:rFonts w:ascii="Arial" w:hAnsi="Arial"/>
          <w:sz w:val="22"/>
        </w:rPr>
        <w:t xml:space="preserve">HTCs.  For applications for which the threshold requirements have been met, </w:t>
      </w:r>
      <w:r w:rsidR="00350A65">
        <w:rPr>
          <w:rFonts w:ascii="Arial" w:hAnsi="Arial"/>
          <w:sz w:val="22"/>
        </w:rPr>
        <w:t>CPED</w:t>
      </w:r>
      <w:r w:rsidR="00F23A7F">
        <w:rPr>
          <w:rFonts w:ascii="Arial" w:hAnsi="Arial"/>
          <w:sz w:val="22"/>
        </w:rPr>
        <w:t xml:space="preserve"> and HRA, respectively, will evaluate </w:t>
      </w:r>
      <w:r>
        <w:rPr>
          <w:rFonts w:ascii="Arial" w:hAnsi="Arial"/>
          <w:sz w:val="22"/>
        </w:rPr>
        <w:t xml:space="preserve">the applications for </w:t>
      </w:r>
      <w:r w:rsidR="00CA743E">
        <w:rPr>
          <w:rFonts w:ascii="Arial" w:hAnsi="Arial"/>
          <w:sz w:val="22"/>
        </w:rPr>
        <w:t xml:space="preserve">HTCs for </w:t>
      </w:r>
      <w:r w:rsidR="005F6082">
        <w:rPr>
          <w:rFonts w:ascii="Arial" w:hAnsi="Arial"/>
          <w:sz w:val="22"/>
        </w:rPr>
        <w:t>proposed project</w:t>
      </w:r>
      <w:r w:rsidR="00F23A7F">
        <w:rPr>
          <w:rFonts w:ascii="Arial" w:hAnsi="Arial"/>
          <w:sz w:val="22"/>
        </w:rPr>
        <w:t>s</w:t>
      </w:r>
      <w:r w:rsidR="005F6082">
        <w:rPr>
          <w:rFonts w:ascii="Arial" w:hAnsi="Arial"/>
          <w:sz w:val="22"/>
        </w:rPr>
        <w:t>, taking into consideration</w:t>
      </w:r>
      <w:r w:rsidR="00CA743E">
        <w:rPr>
          <w:rFonts w:ascii="Arial" w:hAnsi="Arial"/>
          <w:sz w:val="22"/>
        </w:rPr>
        <w:t xml:space="preserve"> the following</w:t>
      </w:r>
      <w:r w:rsidR="005F6082">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5F6082">
        <w:rPr>
          <w:rFonts w:ascii="Arial" w:hAnsi="Arial"/>
          <w:sz w:val="22"/>
        </w:rPr>
        <w:tab/>
        <w:t>Development costs, including developer fees, builder’s profits, contractors overhead, and general conditions.</w:t>
      </w:r>
    </w:p>
    <w:p w:rsidR="00DF194D" w:rsidRDefault="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t>All sources and uses of funds.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sz w:val="22"/>
        </w:rPr>
      </w:pPr>
      <w:r>
        <w:rPr>
          <w:rFonts w:ascii="Arial" w:hAnsi="Arial"/>
          <w:sz w:val="22"/>
        </w:rPr>
        <w:t>(3)</w:t>
      </w:r>
      <w:r w:rsidR="005F6082">
        <w:rPr>
          <w:rFonts w:ascii="Arial" w:hAnsi="Arial"/>
          <w:sz w:val="22"/>
        </w:rPr>
        <w:tab/>
        <w:t>Projected income and expenses.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sidR="005F6082">
        <w:rPr>
          <w:rFonts w:ascii="Arial" w:hAnsi="Arial"/>
          <w:sz w:val="22"/>
        </w:rPr>
        <w:tab/>
        <w:t xml:space="preserve">Proceeds expected to be generated from the sale of </w:t>
      </w:r>
      <w:r w:rsidR="00F23A7F">
        <w:rPr>
          <w:rFonts w:ascii="Arial" w:hAnsi="Arial"/>
          <w:sz w:val="22"/>
        </w:rPr>
        <w:t>HTC</w:t>
      </w:r>
      <w:r w:rsidR="005F6082">
        <w:rPr>
          <w:rFonts w:ascii="Arial" w:hAnsi="Arial"/>
          <w:sz w:val="22"/>
        </w:rPr>
        <w:t xml:space="preserve">, including </w:t>
      </w:r>
      <w:r w:rsidR="00CA743E">
        <w:rPr>
          <w:rFonts w:ascii="Arial" w:hAnsi="Arial"/>
          <w:sz w:val="22"/>
        </w:rPr>
        <w:t xml:space="preserve">any </w:t>
      </w:r>
      <w:r w:rsidR="005F6082">
        <w:rPr>
          <w:rFonts w:ascii="Arial" w:hAnsi="Arial"/>
          <w:sz w:val="22"/>
        </w:rPr>
        <w:t>historic tax credits.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(5)</w:t>
      </w:r>
      <w:r w:rsidR="005F6082">
        <w:rPr>
          <w:rFonts w:ascii="Arial" w:hAnsi="Arial"/>
          <w:sz w:val="22"/>
        </w:rPr>
        <w:tab/>
        <w:t xml:space="preserve">The difference </w:t>
      </w:r>
      <w:r w:rsidR="00CA743E">
        <w:rPr>
          <w:rFonts w:ascii="Arial" w:hAnsi="Arial"/>
          <w:sz w:val="22"/>
        </w:rPr>
        <w:t xml:space="preserve">(the “GAP”) </w:t>
      </w:r>
      <w:r w:rsidR="005F6082">
        <w:rPr>
          <w:rFonts w:ascii="Arial" w:hAnsi="Arial"/>
          <w:sz w:val="22"/>
        </w:rPr>
        <w:t>between total project costs and total available financing resources</w:t>
      </w:r>
      <w:r w:rsidR="00CA743E">
        <w:rPr>
          <w:rFonts w:ascii="Arial" w:hAnsi="Arial"/>
          <w:sz w:val="22"/>
        </w:rPr>
        <w:t xml:space="preserve">.  </w:t>
      </w:r>
      <w:r w:rsidR="005F6082">
        <w:rPr>
          <w:rFonts w:ascii="Arial" w:hAnsi="Arial"/>
          <w:sz w:val="22"/>
        </w:rPr>
        <w:t xml:space="preserve">A calculation </w:t>
      </w:r>
      <w:r w:rsidR="00CA743E">
        <w:rPr>
          <w:rFonts w:ascii="Arial" w:hAnsi="Arial"/>
          <w:sz w:val="22"/>
        </w:rPr>
        <w:t xml:space="preserve">will be </w:t>
      </w:r>
      <w:r w:rsidR="005F6082">
        <w:rPr>
          <w:rFonts w:ascii="Arial" w:hAnsi="Arial"/>
          <w:sz w:val="22"/>
        </w:rPr>
        <w:t>made to det</w:t>
      </w:r>
      <w:r w:rsidR="00052209">
        <w:rPr>
          <w:rFonts w:ascii="Arial" w:hAnsi="Arial"/>
          <w:sz w:val="22"/>
        </w:rPr>
        <w:t xml:space="preserve">ermine the amount of </w:t>
      </w:r>
      <w:r w:rsidR="00F23A7F">
        <w:rPr>
          <w:rFonts w:ascii="Arial" w:hAnsi="Arial"/>
          <w:sz w:val="22"/>
        </w:rPr>
        <w:t>HTC</w:t>
      </w:r>
      <w:r w:rsidR="005F6082">
        <w:rPr>
          <w:rFonts w:ascii="Arial" w:hAnsi="Arial"/>
          <w:sz w:val="22"/>
        </w:rPr>
        <w:t xml:space="preserve"> needed by the project to fund the GAP </w:t>
      </w:r>
      <w:r w:rsidR="00052209">
        <w:rPr>
          <w:rFonts w:ascii="Arial" w:hAnsi="Arial"/>
          <w:sz w:val="22"/>
        </w:rPr>
        <w:t xml:space="preserve">over the </w:t>
      </w:r>
      <w:r w:rsidR="0053516E">
        <w:rPr>
          <w:rFonts w:ascii="Arial" w:hAnsi="Arial"/>
          <w:sz w:val="22"/>
        </w:rPr>
        <w:t xml:space="preserve">10-year </w:t>
      </w:r>
      <w:r w:rsidR="00052209">
        <w:rPr>
          <w:rFonts w:ascii="Arial" w:hAnsi="Arial"/>
          <w:sz w:val="22"/>
        </w:rPr>
        <w:t xml:space="preserve">credit </w:t>
      </w:r>
      <w:r w:rsidR="0053516E">
        <w:rPr>
          <w:rFonts w:ascii="Arial" w:hAnsi="Arial"/>
          <w:sz w:val="22"/>
        </w:rPr>
        <w:t>period</w:t>
      </w:r>
      <w:r w:rsidR="005F6082">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Based on this evaluation, </w:t>
      </w:r>
      <w:r w:rsidR="00350A65">
        <w:rPr>
          <w:rFonts w:ascii="Arial" w:hAnsi="Arial"/>
          <w:sz w:val="22"/>
        </w:rPr>
        <w:t>CPED</w:t>
      </w:r>
      <w:r>
        <w:rPr>
          <w:rFonts w:ascii="Arial" w:hAnsi="Arial"/>
          <w:sz w:val="22"/>
        </w:rPr>
        <w:t xml:space="preserve"> and HRA, respectively, wi</w:t>
      </w:r>
      <w:r w:rsidR="0059479C">
        <w:rPr>
          <w:rFonts w:ascii="Arial" w:hAnsi="Arial"/>
          <w:sz w:val="22"/>
        </w:rPr>
        <w:t xml:space="preserve">ll </w:t>
      </w:r>
      <w:r w:rsidR="001B5778">
        <w:rPr>
          <w:rFonts w:ascii="Arial" w:hAnsi="Arial"/>
          <w:sz w:val="22"/>
        </w:rPr>
        <w:t>determine</w:t>
      </w:r>
      <w:r w:rsidR="0059479C">
        <w:rPr>
          <w:rFonts w:ascii="Arial" w:hAnsi="Arial"/>
          <w:sz w:val="22"/>
        </w:rPr>
        <w:t xml:space="preserve"> the amount of </w:t>
      </w:r>
      <w:r w:rsidR="0059479C">
        <w:rPr>
          <w:rFonts w:ascii="Arial" w:hAnsi="Arial" w:cs="Arial"/>
          <w:sz w:val="22"/>
          <w:szCs w:val="22"/>
        </w:rPr>
        <w:t>HTC</w:t>
      </w:r>
      <w:r>
        <w:rPr>
          <w:rFonts w:ascii="Arial" w:hAnsi="Arial"/>
          <w:sz w:val="22"/>
        </w:rPr>
        <w:t xml:space="preserve"> to </w:t>
      </w:r>
      <w:r w:rsidR="00CA743E">
        <w:rPr>
          <w:rFonts w:ascii="Arial" w:hAnsi="Arial"/>
          <w:sz w:val="22"/>
        </w:rPr>
        <w:t>be reserved for each applicant</w:t>
      </w:r>
      <w:r>
        <w:rPr>
          <w:rFonts w:ascii="Arial" w:hAnsi="Arial"/>
          <w:sz w:val="22"/>
        </w:rPr>
        <w:t xml:space="preserve">.  </w:t>
      </w:r>
      <w:r w:rsidR="001B5778">
        <w:rPr>
          <w:rFonts w:ascii="Arial" w:hAnsi="Arial"/>
          <w:sz w:val="22"/>
        </w:rPr>
        <w:t xml:space="preserve">HTC awards will be limited to the amount necessary to ensure the financial feasibility of the project.  </w:t>
      </w:r>
      <w:r w:rsidR="00CA743E">
        <w:rPr>
          <w:rFonts w:ascii="Arial" w:hAnsi="Arial"/>
          <w:sz w:val="22"/>
        </w:rPr>
        <w:t xml:space="preserve">The ultimate amount of the </w:t>
      </w:r>
      <w:r w:rsidR="0059479C">
        <w:rPr>
          <w:rFonts w:ascii="Arial" w:hAnsi="Arial" w:cs="Arial"/>
          <w:sz w:val="22"/>
          <w:szCs w:val="22"/>
        </w:rPr>
        <w:t>HTC</w:t>
      </w:r>
      <w:r>
        <w:rPr>
          <w:rFonts w:ascii="Arial" w:hAnsi="Arial"/>
          <w:sz w:val="22"/>
        </w:rPr>
        <w:t xml:space="preserve"> </w:t>
      </w:r>
      <w:r w:rsidR="00CA743E">
        <w:rPr>
          <w:rFonts w:ascii="Arial" w:hAnsi="Arial"/>
          <w:sz w:val="22"/>
        </w:rPr>
        <w:t>award</w:t>
      </w:r>
      <w:r w:rsidR="001B5778">
        <w:rPr>
          <w:rFonts w:ascii="Arial" w:hAnsi="Arial"/>
          <w:sz w:val="22"/>
        </w:rPr>
        <w:t xml:space="preserve"> may</w:t>
      </w:r>
      <w:r>
        <w:rPr>
          <w:rFonts w:ascii="Arial" w:hAnsi="Arial"/>
          <w:sz w:val="22"/>
        </w:rPr>
        <w:t xml:space="preserve"> change during the </w:t>
      </w:r>
      <w:r w:rsidR="00CA743E">
        <w:rPr>
          <w:rFonts w:ascii="Arial" w:hAnsi="Arial"/>
          <w:sz w:val="22"/>
        </w:rPr>
        <w:t xml:space="preserve">construction/development </w:t>
      </w:r>
      <w:r>
        <w:rPr>
          <w:rFonts w:ascii="Arial" w:hAnsi="Arial"/>
          <w:sz w:val="22"/>
        </w:rPr>
        <w:t>process due to variables in cost</w:t>
      </w:r>
      <w:r w:rsidR="0053516E">
        <w:rPr>
          <w:rFonts w:ascii="Arial" w:hAnsi="Arial"/>
          <w:sz w:val="22"/>
        </w:rPr>
        <w:t xml:space="preserve">s, loan </w:t>
      </w:r>
      <w:r>
        <w:rPr>
          <w:rFonts w:ascii="Arial" w:hAnsi="Arial"/>
          <w:sz w:val="22"/>
        </w:rPr>
        <w:t>amount</w:t>
      </w:r>
      <w:r w:rsidR="0053516E">
        <w:rPr>
          <w:rFonts w:ascii="Arial" w:hAnsi="Arial"/>
          <w:sz w:val="22"/>
        </w:rPr>
        <w:t>s</w:t>
      </w:r>
      <w:r>
        <w:rPr>
          <w:rFonts w:ascii="Arial" w:hAnsi="Arial"/>
          <w:sz w:val="22"/>
        </w:rPr>
        <w:t xml:space="preserve">, </w:t>
      </w:r>
      <w:r w:rsidR="001B5778">
        <w:rPr>
          <w:rFonts w:ascii="Arial" w:hAnsi="Arial"/>
          <w:sz w:val="22"/>
        </w:rPr>
        <w:t>HTC</w:t>
      </w:r>
      <w:r>
        <w:rPr>
          <w:rFonts w:ascii="Arial" w:hAnsi="Arial"/>
          <w:sz w:val="22"/>
        </w:rPr>
        <w:t xml:space="preserve"> </w:t>
      </w:r>
      <w:r w:rsidR="0053516E">
        <w:rPr>
          <w:rFonts w:ascii="Arial" w:hAnsi="Arial"/>
          <w:sz w:val="22"/>
        </w:rPr>
        <w:lastRenderedPageBreak/>
        <w:t xml:space="preserve">rate </w:t>
      </w:r>
      <w:r>
        <w:rPr>
          <w:rFonts w:ascii="Arial" w:hAnsi="Arial"/>
          <w:sz w:val="22"/>
        </w:rPr>
        <w:t>percentage, s</w:t>
      </w:r>
      <w:r w:rsidR="00CA743E">
        <w:rPr>
          <w:rFonts w:ascii="Arial" w:hAnsi="Arial"/>
          <w:sz w:val="22"/>
        </w:rPr>
        <w:t xml:space="preserve">yndication proceeds, etc. </w:t>
      </w:r>
      <w:r w:rsidR="00600022">
        <w:rPr>
          <w:rFonts w:ascii="Arial" w:hAnsi="Arial"/>
          <w:sz w:val="22"/>
        </w:rPr>
        <w:t>The B</w:t>
      </w:r>
      <w:r w:rsidR="0053516E">
        <w:rPr>
          <w:rFonts w:ascii="Arial" w:hAnsi="Arial"/>
          <w:sz w:val="22"/>
        </w:rPr>
        <w:t xml:space="preserve">oard will make reservations of </w:t>
      </w:r>
      <w:r w:rsidR="00600022">
        <w:rPr>
          <w:rFonts w:ascii="Arial" w:hAnsi="Arial" w:cs="Arial"/>
          <w:sz w:val="22"/>
          <w:szCs w:val="22"/>
        </w:rPr>
        <w:t>HTC</w:t>
      </w:r>
      <w:r>
        <w:rPr>
          <w:rFonts w:ascii="Arial" w:hAnsi="Arial"/>
          <w:sz w:val="22"/>
        </w:rPr>
        <w:t xml:space="preserve"> </w:t>
      </w:r>
      <w:r w:rsidR="00CA743E">
        <w:rPr>
          <w:rFonts w:ascii="Arial" w:hAnsi="Arial"/>
          <w:sz w:val="22"/>
        </w:rPr>
        <w:t xml:space="preserve">for particular projects </w:t>
      </w:r>
      <w:r w:rsidR="0053516E">
        <w:rPr>
          <w:rFonts w:ascii="Arial" w:hAnsi="Arial"/>
          <w:sz w:val="22"/>
        </w:rPr>
        <w:t xml:space="preserve">based </w:t>
      </w:r>
      <w:r>
        <w:rPr>
          <w:rFonts w:ascii="Arial" w:hAnsi="Arial"/>
          <w:sz w:val="22"/>
        </w:rPr>
        <w:t>on the recommendations of the City of Minneapolis and HRA, as applicable.</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Th</w:t>
      </w:r>
      <w:r w:rsidR="00CA743E">
        <w:rPr>
          <w:rFonts w:ascii="Arial" w:hAnsi="Arial"/>
          <w:sz w:val="22"/>
        </w:rPr>
        <w:t xml:space="preserve">e </w:t>
      </w:r>
      <w:r>
        <w:rPr>
          <w:rFonts w:ascii="Arial" w:hAnsi="Arial"/>
          <w:sz w:val="22"/>
        </w:rPr>
        <w:t xml:space="preserve">analysis </w:t>
      </w:r>
      <w:r w:rsidR="00CA743E">
        <w:rPr>
          <w:rFonts w:ascii="Arial" w:hAnsi="Arial"/>
          <w:sz w:val="22"/>
        </w:rPr>
        <w:t xml:space="preserve">of the amount of </w:t>
      </w:r>
      <w:r w:rsidR="0059479C">
        <w:rPr>
          <w:rFonts w:ascii="Arial" w:hAnsi="Arial" w:cs="Arial"/>
          <w:sz w:val="22"/>
          <w:szCs w:val="22"/>
        </w:rPr>
        <w:t xml:space="preserve">HTC </w:t>
      </w:r>
      <w:r w:rsidR="00CA743E">
        <w:rPr>
          <w:rFonts w:ascii="Arial" w:hAnsi="Arial" w:cs="Arial"/>
          <w:sz w:val="22"/>
          <w:szCs w:val="22"/>
        </w:rPr>
        <w:t>n</w:t>
      </w:r>
      <w:r>
        <w:rPr>
          <w:rFonts w:ascii="Arial" w:hAnsi="Arial"/>
          <w:sz w:val="22"/>
        </w:rPr>
        <w:t xml:space="preserve">ecessary </w:t>
      </w:r>
      <w:r w:rsidR="00CA743E">
        <w:rPr>
          <w:rFonts w:ascii="Arial" w:hAnsi="Arial"/>
          <w:sz w:val="22"/>
        </w:rPr>
        <w:t xml:space="preserve">to fund the GAP </w:t>
      </w:r>
      <w:r>
        <w:rPr>
          <w:rFonts w:ascii="Arial" w:hAnsi="Arial"/>
          <w:sz w:val="22"/>
        </w:rPr>
        <w:t>will be done at the time of application, at the time a carryover allocation is approved, and at the time the project is placed in service, provided all project costs are finalized and certified</w:t>
      </w:r>
      <w:r w:rsidR="00905541">
        <w:rPr>
          <w:rFonts w:ascii="Arial" w:hAnsi="Arial"/>
          <w:sz w:val="22"/>
        </w:rPr>
        <w:t xml:space="preserve"> in accordance with the requirements of the </w:t>
      </w:r>
      <w:r w:rsidR="00052209">
        <w:rPr>
          <w:rFonts w:ascii="Arial" w:hAnsi="Arial"/>
          <w:sz w:val="22"/>
        </w:rPr>
        <w:t>QAP</w:t>
      </w:r>
      <w:r>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If there are changes in sources and/or uses of funds or other material changes</w:t>
      </w:r>
      <w:r w:rsidR="00905541">
        <w:rPr>
          <w:rFonts w:ascii="Arial" w:hAnsi="Arial"/>
          <w:sz w:val="22"/>
        </w:rPr>
        <w:t xml:space="preserve"> with respect to a particular project</w:t>
      </w:r>
      <w:r>
        <w:rPr>
          <w:rFonts w:ascii="Arial" w:hAnsi="Arial"/>
          <w:sz w:val="22"/>
        </w:rPr>
        <w:t xml:space="preserve">, </w:t>
      </w:r>
      <w:r w:rsidR="0053516E">
        <w:rPr>
          <w:rFonts w:ascii="Arial" w:hAnsi="Arial"/>
          <w:sz w:val="22"/>
        </w:rPr>
        <w:t>the Board will adjust th</w:t>
      </w:r>
      <w:r w:rsidR="00052209">
        <w:rPr>
          <w:rFonts w:ascii="Arial" w:hAnsi="Arial"/>
          <w:sz w:val="22"/>
        </w:rPr>
        <w:t xml:space="preserve">e </w:t>
      </w:r>
      <w:r w:rsidR="0053516E">
        <w:rPr>
          <w:rFonts w:ascii="Arial" w:hAnsi="Arial"/>
          <w:sz w:val="22"/>
        </w:rPr>
        <w:t xml:space="preserve">HTC </w:t>
      </w:r>
      <w:r>
        <w:rPr>
          <w:rFonts w:ascii="Arial" w:hAnsi="Arial"/>
          <w:sz w:val="22"/>
        </w:rPr>
        <w:t xml:space="preserve">amount to reflect the changes, and the </w:t>
      </w:r>
      <w:r w:rsidR="0053516E">
        <w:rPr>
          <w:rFonts w:ascii="Arial" w:hAnsi="Arial"/>
          <w:sz w:val="22"/>
        </w:rPr>
        <w:t xml:space="preserve">HTC </w:t>
      </w:r>
      <w:r>
        <w:rPr>
          <w:rFonts w:ascii="Arial" w:hAnsi="Arial"/>
          <w:sz w:val="22"/>
        </w:rPr>
        <w:t>may be reduced at the direction of</w:t>
      </w:r>
      <w:r w:rsidR="001A6D81">
        <w:rPr>
          <w:rFonts w:ascii="Arial" w:hAnsi="Arial"/>
          <w:sz w:val="22"/>
        </w:rPr>
        <w:t xml:space="preserve"> the City of Minneapolis or </w:t>
      </w:r>
      <w:r>
        <w:rPr>
          <w:rFonts w:ascii="Arial" w:hAnsi="Arial"/>
          <w:sz w:val="22"/>
        </w:rPr>
        <w:t xml:space="preserve">HRA, as applicable.  Any </w:t>
      </w:r>
      <w:r w:rsidR="00905541">
        <w:rPr>
          <w:rFonts w:ascii="Arial" w:hAnsi="Arial"/>
          <w:sz w:val="22"/>
        </w:rPr>
        <w:t xml:space="preserve">requests for </w:t>
      </w:r>
      <w:r>
        <w:rPr>
          <w:rFonts w:ascii="Arial" w:hAnsi="Arial"/>
          <w:sz w:val="22"/>
        </w:rPr>
        <w:t xml:space="preserve">additional </w:t>
      </w:r>
      <w:r w:rsidR="0059479C">
        <w:rPr>
          <w:rFonts w:ascii="Arial" w:hAnsi="Arial" w:cs="Arial"/>
          <w:sz w:val="22"/>
          <w:szCs w:val="22"/>
        </w:rPr>
        <w:t xml:space="preserve">HTC </w:t>
      </w:r>
      <w:r>
        <w:rPr>
          <w:rFonts w:ascii="Arial" w:hAnsi="Arial"/>
          <w:sz w:val="22"/>
        </w:rPr>
        <w:t xml:space="preserve">for the project will depend </w:t>
      </w:r>
      <w:r w:rsidR="0059479C">
        <w:rPr>
          <w:rFonts w:ascii="Arial" w:hAnsi="Arial"/>
          <w:sz w:val="22"/>
        </w:rPr>
        <w:t xml:space="preserve">upon the availability of </w:t>
      </w:r>
      <w:r w:rsidR="0059479C">
        <w:rPr>
          <w:rFonts w:ascii="Arial" w:hAnsi="Arial" w:cs="Arial"/>
          <w:sz w:val="22"/>
          <w:szCs w:val="22"/>
        </w:rPr>
        <w:t>HTC</w:t>
      </w:r>
      <w:r w:rsidR="00905541">
        <w:rPr>
          <w:rFonts w:ascii="Arial" w:hAnsi="Arial" w:cs="Arial"/>
          <w:sz w:val="22"/>
          <w:szCs w:val="22"/>
        </w:rPr>
        <w:t xml:space="preserve"> and the determinatio</w:t>
      </w:r>
      <w:r w:rsidR="002F3A22">
        <w:rPr>
          <w:rFonts w:ascii="Arial" w:hAnsi="Arial" w:cs="Arial"/>
          <w:sz w:val="22"/>
          <w:szCs w:val="22"/>
        </w:rPr>
        <w:t>n of</w:t>
      </w:r>
      <w:r w:rsidR="001A6D81">
        <w:rPr>
          <w:rFonts w:ascii="Arial" w:hAnsi="Arial" w:cs="Arial"/>
          <w:sz w:val="22"/>
          <w:szCs w:val="22"/>
        </w:rPr>
        <w:t xml:space="preserve"> the City of Minneapolis or </w:t>
      </w:r>
      <w:r w:rsidR="00905541">
        <w:rPr>
          <w:rFonts w:ascii="Arial" w:hAnsi="Arial" w:cs="Arial"/>
          <w:sz w:val="22"/>
          <w:szCs w:val="22"/>
        </w:rPr>
        <w:t>HRA, as applicable</w:t>
      </w:r>
      <w:r>
        <w:rPr>
          <w:rFonts w:ascii="Arial" w:hAnsi="Arial"/>
          <w:sz w:val="22"/>
        </w:rPr>
        <w:t>.</w:t>
      </w:r>
    </w:p>
    <w:p w:rsidR="005F6082" w:rsidRPr="00E03091" w:rsidRDefault="005F6082" w:rsidP="003A14BA">
      <w:pPr>
        <w:pStyle w:val="Heading2"/>
        <w:ind w:left="720"/>
        <w:rPr>
          <w:rFonts w:ascii="Arial" w:hAnsi="Arial"/>
          <w:i w:val="0"/>
          <w:sz w:val="22"/>
        </w:rPr>
      </w:pPr>
      <w:bookmarkStart w:id="13" w:name="_Toc511902992"/>
      <w:r w:rsidRPr="00E03091">
        <w:rPr>
          <w:rFonts w:ascii="Arial" w:hAnsi="Arial"/>
          <w:i w:val="0"/>
          <w:sz w:val="22"/>
        </w:rPr>
        <w:t>I.</w:t>
      </w:r>
      <w:r w:rsidRPr="00E03091">
        <w:rPr>
          <w:rFonts w:ascii="Arial" w:hAnsi="Arial"/>
          <w:i w:val="0"/>
          <w:sz w:val="22"/>
        </w:rPr>
        <w:tab/>
        <w:t xml:space="preserve">Requests for Additional </w:t>
      </w:r>
      <w:r w:rsidR="00CF4966" w:rsidRPr="00CF4966">
        <w:rPr>
          <w:rFonts w:ascii="Arial" w:hAnsi="Arial"/>
          <w:i w:val="0"/>
          <w:sz w:val="22"/>
        </w:rPr>
        <w:t>HTC</w:t>
      </w:r>
      <w:r w:rsidRPr="00E03091">
        <w:rPr>
          <w:rFonts w:ascii="Arial" w:hAnsi="Arial"/>
          <w:i w:val="0"/>
          <w:sz w:val="22"/>
        </w:rPr>
        <w:t xml:space="preserve"> Amounts</w:t>
      </w:r>
      <w:r w:rsidRPr="00E03091">
        <w:rPr>
          <w:rFonts w:ascii="Arial" w:hAnsi="Arial"/>
          <w:i w:val="0"/>
          <w:sz w:val="22"/>
        </w:rPr>
        <w:fldChar w:fldCharType="begin"/>
      </w:r>
      <w:r w:rsidRPr="00E03091">
        <w:rPr>
          <w:rFonts w:ascii="Arial" w:hAnsi="Arial"/>
          <w:i w:val="0"/>
          <w:sz w:val="22"/>
        </w:rPr>
        <w:instrText>tc \l2 "I.</w:instrText>
      </w:r>
      <w:r w:rsidRPr="00E03091">
        <w:rPr>
          <w:rFonts w:ascii="Arial" w:hAnsi="Arial"/>
          <w:i w:val="0"/>
          <w:sz w:val="22"/>
        </w:rPr>
        <w:tab/>
        <w:instrText>Requests for Additional Credit Amounts</w:instrText>
      </w:r>
      <w:r w:rsidRPr="00E03091">
        <w:rPr>
          <w:rFonts w:ascii="Arial" w:hAnsi="Arial"/>
          <w:i w:val="0"/>
          <w:sz w:val="22"/>
        </w:rPr>
        <w:fldChar w:fldCharType="end"/>
      </w:r>
      <w:bookmarkEnd w:id="13"/>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C328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Developers which have carryover allocations from a prior year may be</w:t>
      </w:r>
      <w:r w:rsidR="0053516E">
        <w:rPr>
          <w:rFonts w:ascii="Arial" w:hAnsi="Arial"/>
          <w:sz w:val="22"/>
        </w:rPr>
        <w:t xml:space="preserve"> eli</w:t>
      </w:r>
      <w:r w:rsidR="00052209">
        <w:rPr>
          <w:rFonts w:ascii="Arial" w:hAnsi="Arial"/>
          <w:sz w:val="22"/>
        </w:rPr>
        <w:t xml:space="preserve">gible to apply for additional </w:t>
      </w:r>
      <w:r w:rsidR="0053516E">
        <w:rPr>
          <w:rFonts w:ascii="Arial" w:hAnsi="Arial"/>
          <w:sz w:val="22"/>
        </w:rPr>
        <w:t>HTC</w:t>
      </w:r>
      <w:r w:rsidR="00CF4966">
        <w:rPr>
          <w:rFonts w:ascii="Arial" w:hAnsi="Arial"/>
          <w:sz w:val="22"/>
        </w:rPr>
        <w:t>s</w:t>
      </w:r>
      <w:r w:rsidR="00C32873">
        <w:rPr>
          <w:rFonts w:ascii="Arial" w:hAnsi="Arial"/>
          <w:sz w:val="22"/>
        </w:rPr>
        <w:t xml:space="preserve"> if there has </w:t>
      </w:r>
      <w:r w:rsidR="0053516E">
        <w:rPr>
          <w:rFonts w:ascii="Arial" w:hAnsi="Arial"/>
          <w:sz w:val="22"/>
        </w:rPr>
        <w:t>been</w:t>
      </w:r>
      <w:r>
        <w:rPr>
          <w:rFonts w:ascii="Arial" w:hAnsi="Arial"/>
          <w:sz w:val="22"/>
        </w:rPr>
        <w:t xml:space="preserve"> </w:t>
      </w:r>
      <w:r w:rsidR="00C32873">
        <w:rPr>
          <w:rFonts w:ascii="Arial" w:hAnsi="Arial"/>
          <w:sz w:val="22"/>
        </w:rPr>
        <w:t>an increase</w:t>
      </w:r>
      <w:r>
        <w:rPr>
          <w:rFonts w:ascii="Arial" w:hAnsi="Arial"/>
          <w:sz w:val="22"/>
        </w:rPr>
        <w:t xml:space="preserve"> in projec</w:t>
      </w:r>
      <w:r w:rsidR="00052209">
        <w:rPr>
          <w:rFonts w:ascii="Arial" w:hAnsi="Arial"/>
          <w:sz w:val="22"/>
        </w:rPr>
        <w:t xml:space="preserve">t costs (in the year in which </w:t>
      </w:r>
      <w:r w:rsidR="00C32873">
        <w:rPr>
          <w:rFonts w:ascii="Arial" w:hAnsi="Arial"/>
          <w:sz w:val="22"/>
        </w:rPr>
        <w:t>HTC were</w:t>
      </w:r>
      <w:r>
        <w:rPr>
          <w:rFonts w:ascii="Arial" w:hAnsi="Arial"/>
          <w:sz w:val="22"/>
        </w:rPr>
        <w:t xml:space="preserve"> initially reserved and in subsequent years) which result</w:t>
      </w:r>
      <w:r w:rsidR="00CF4966">
        <w:rPr>
          <w:rFonts w:ascii="Arial" w:hAnsi="Arial"/>
          <w:sz w:val="22"/>
        </w:rPr>
        <w:t>s</w:t>
      </w:r>
      <w:r>
        <w:rPr>
          <w:rFonts w:ascii="Arial" w:hAnsi="Arial"/>
          <w:sz w:val="22"/>
        </w:rPr>
        <w:t xml:space="preserve"> in </w:t>
      </w:r>
      <w:r w:rsidR="00C32873">
        <w:rPr>
          <w:rFonts w:ascii="Arial" w:hAnsi="Arial"/>
          <w:sz w:val="22"/>
        </w:rPr>
        <w:t>an increase</w:t>
      </w:r>
      <w:r>
        <w:rPr>
          <w:rFonts w:ascii="Arial" w:hAnsi="Arial"/>
          <w:sz w:val="22"/>
        </w:rPr>
        <w:t xml:space="preserve"> in eligible basis</w:t>
      </w:r>
      <w:r w:rsidR="00C32873">
        <w:rPr>
          <w:rFonts w:ascii="Arial" w:hAnsi="Arial"/>
          <w:sz w:val="22"/>
        </w:rPr>
        <w:t xml:space="preserve"> of the project</w:t>
      </w:r>
      <w:r>
        <w:rPr>
          <w:rFonts w:ascii="Arial" w:hAnsi="Arial"/>
          <w:sz w:val="22"/>
        </w:rPr>
        <w:t>.</w:t>
      </w:r>
    </w:p>
    <w:p w:rsidR="00C32873" w:rsidRDefault="00C32873" w:rsidP="00C328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Projects which qualified for a </w:t>
      </w:r>
      <w:r w:rsidR="00CF4966">
        <w:rPr>
          <w:rFonts w:ascii="Arial" w:hAnsi="Arial"/>
          <w:sz w:val="22"/>
        </w:rPr>
        <w:t>higher</w:t>
      </w:r>
      <w:r>
        <w:rPr>
          <w:rFonts w:ascii="Arial" w:hAnsi="Arial"/>
          <w:sz w:val="22"/>
        </w:rPr>
        <w:t xml:space="preserve"> amount </w:t>
      </w:r>
      <w:r w:rsidR="00052209">
        <w:rPr>
          <w:rFonts w:ascii="Arial" w:hAnsi="Arial"/>
          <w:sz w:val="22"/>
        </w:rPr>
        <w:t xml:space="preserve">of </w:t>
      </w:r>
      <w:r w:rsidR="00CF4966">
        <w:rPr>
          <w:rFonts w:ascii="Arial" w:hAnsi="Arial"/>
          <w:sz w:val="22"/>
        </w:rPr>
        <w:t xml:space="preserve">HTC </w:t>
      </w:r>
      <w:r>
        <w:rPr>
          <w:rFonts w:ascii="Arial" w:hAnsi="Arial"/>
          <w:sz w:val="22"/>
        </w:rPr>
        <w:t xml:space="preserve">at </w:t>
      </w:r>
      <w:r w:rsidR="00CF4966">
        <w:rPr>
          <w:rFonts w:ascii="Arial" w:hAnsi="Arial"/>
          <w:sz w:val="22"/>
        </w:rPr>
        <w:t xml:space="preserve">HTC </w:t>
      </w:r>
      <w:r>
        <w:rPr>
          <w:rFonts w:ascii="Arial" w:hAnsi="Arial"/>
          <w:sz w:val="22"/>
        </w:rPr>
        <w:t xml:space="preserve">reservation, but did not receive a full reservation </w:t>
      </w:r>
      <w:r w:rsidR="00C32873">
        <w:rPr>
          <w:rFonts w:ascii="Arial" w:hAnsi="Arial"/>
          <w:sz w:val="22"/>
        </w:rPr>
        <w:t xml:space="preserve">due to unavailability of </w:t>
      </w:r>
      <w:r w:rsidR="00BD7596">
        <w:rPr>
          <w:rFonts w:ascii="Arial" w:hAnsi="Arial"/>
          <w:sz w:val="22"/>
        </w:rPr>
        <w:t>HTC</w:t>
      </w:r>
      <w:r>
        <w:rPr>
          <w:rFonts w:ascii="Arial" w:hAnsi="Arial"/>
          <w:sz w:val="22"/>
        </w:rPr>
        <w:t>, are also eligible</w:t>
      </w:r>
      <w:r w:rsidR="00052209">
        <w:rPr>
          <w:rFonts w:ascii="Arial" w:hAnsi="Arial"/>
          <w:sz w:val="22"/>
        </w:rPr>
        <w:t xml:space="preserve"> to apply for additional </w:t>
      </w:r>
      <w:r w:rsidR="00C32873">
        <w:rPr>
          <w:rFonts w:ascii="Arial" w:hAnsi="Arial"/>
          <w:sz w:val="22"/>
        </w:rPr>
        <w:t>HTC</w:t>
      </w:r>
      <w:r w:rsidR="00CF4966">
        <w:rPr>
          <w:rFonts w:ascii="Arial" w:hAnsi="Arial"/>
          <w:sz w:val="22"/>
        </w:rPr>
        <w:t>s</w:t>
      </w:r>
      <w:r>
        <w:rPr>
          <w:rFonts w:ascii="Arial" w:hAnsi="Arial"/>
          <w:sz w:val="22"/>
        </w:rPr>
        <w:t xml:space="preserve"> in subsequent years.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In both of the above cases, a</w:t>
      </w:r>
      <w:r w:rsidR="00C32873">
        <w:rPr>
          <w:rFonts w:ascii="Arial" w:hAnsi="Arial"/>
          <w:sz w:val="22"/>
        </w:rPr>
        <w:t>ppli</w:t>
      </w:r>
      <w:r w:rsidR="00052209">
        <w:rPr>
          <w:rFonts w:ascii="Arial" w:hAnsi="Arial"/>
          <w:sz w:val="22"/>
        </w:rPr>
        <w:t xml:space="preserve">cations requesting additional </w:t>
      </w:r>
      <w:r w:rsidR="00C32873">
        <w:rPr>
          <w:rFonts w:ascii="Arial" w:hAnsi="Arial"/>
          <w:sz w:val="22"/>
        </w:rPr>
        <w:t>HTC</w:t>
      </w:r>
      <w:r>
        <w:rPr>
          <w:rFonts w:ascii="Arial" w:hAnsi="Arial"/>
          <w:sz w:val="22"/>
        </w:rPr>
        <w:t xml:space="preserve"> will be subject to the same evaluation process described above an</w:t>
      </w:r>
      <w:r w:rsidR="00052209">
        <w:rPr>
          <w:rFonts w:ascii="Arial" w:hAnsi="Arial"/>
          <w:sz w:val="22"/>
        </w:rPr>
        <w:t xml:space="preserve">d to the availability of </w:t>
      </w:r>
      <w:r w:rsidR="00C32873">
        <w:rPr>
          <w:rFonts w:ascii="Arial" w:hAnsi="Arial"/>
          <w:sz w:val="22"/>
        </w:rPr>
        <w:t>HTC</w:t>
      </w:r>
      <w:r w:rsidR="00D22A72">
        <w:rPr>
          <w:rFonts w:ascii="Arial" w:hAnsi="Arial"/>
          <w:sz w:val="22"/>
        </w:rPr>
        <w:t>.  Developers</w:t>
      </w:r>
      <w:r>
        <w:rPr>
          <w:rFonts w:ascii="Arial" w:hAnsi="Arial"/>
          <w:sz w:val="22"/>
        </w:rPr>
        <w:t xml:space="preserve"> </w:t>
      </w:r>
      <w:r w:rsidR="00052209">
        <w:rPr>
          <w:rFonts w:ascii="Arial" w:hAnsi="Arial"/>
          <w:sz w:val="22"/>
        </w:rPr>
        <w:t xml:space="preserve">requesting addition </w:t>
      </w:r>
      <w:r w:rsidR="00D22A72">
        <w:rPr>
          <w:rFonts w:ascii="Arial" w:hAnsi="Arial"/>
          <w:sz w:val="22"/>
        </w:rPr>
        <w:t xml:space="preserve">HTC must </w:t>
      </w:r>
      <w:r w:rsidR="00602D0D">
        <w:rPr>
          <w:rFonts w:ascii="Arial" w:hAnsi="Arial"/>
          <w:sz w:val="22"/>
        </w:rPr>
        <w:t>revise and resubmit their A</w:t>
      </w:r>
      <w:r>
        <w:rPr>
          <w:rFonts w:ascii="Arial" w:hAnsi="Arial"/>
          <w:sz w:val="22"/>
        </w:rPr>
        <w:t xml:space="preserve">pplication </w:t>
      </w:r>
      <w:r w:rsidR="00D22A72">
        <w:rPr>
          <w:rFonts w:ascii="Arial" w:hAnsi="Arial"/>
          <w:sz w:val="22"/>
        </w:rPr>
        <w:t xml:space="preserve">and </w:t>
      </w:r>
      <w:r>
        <w:rPr>
          <w:rFonts w:ascii="Arial" w:hAnsi="Arial"/>
          <w:sz w:val="22"/>
        </w:rPr>
        <w:t>also submit an additional application fee</w:t>
      </w:r>
      <w:r w:rsidR="002648F4">
        <w:rPr>
          <w:rFonts w:ascii="Arial" w:hAnsi="Arial"/>
          <w:sz w:val="22"/>
        </w:rPr>
        <w:t>, as set forth in Section VI</w:t>
      </w:r>
      <w:r w:rsidR="00F334ED">
        <w:rPr>
          <w:rFonts w:ascii="Arial" w:hAnsi="Arial"/>
          <w:sz w:val="22"/>
        </w:rPr>
        <w:t>I</w:t>
      </w:r>
      <w:r w:rsidR="002648F4">
        <w:rPr>
          <w:rFonts w:ascii="Arial" w:hAnsi="Arial"/>
          <w:sz w:val="22"/>
        </w:rPr>
        <w:t>I</w:t>
      </w:r>
      <w:r w:rsidR="001A6D81">
        <w:rPr>
          <w:rFonts w:ascii="Arial" w:hAnsi="Arial"/>
          <w:sz w:val="22"/>
        </w:rPr>
        <w:t xml:space="preserve"> hereof</w:t>
      </w:r>
      <w:r w:rsidR="002648F4">
        <w:rPr>
          <w:rFonts w:ascii="Arial" w:hAnsi="Arial"/>
          <w:sz w:val="22"/>
        </w:rPr>
        <w:t>,</w:t>
      </w:r>
      <w:r>
        <w:rPr>
          <w:rFonts w:ascii="Arial" w:hAnsi="Arial"/>
          <w:sz w:val="22"/>
        </w:rPr>
        <w:t xml:space="preserve"> to </w:t>
      </w:r>
      <w:r w:rsidR="00350A65">
        <w:rPr>
          <w:rFonts w:ascii="Arial" w:hAnsi="Arial"/>
          <w:sz w:val="22"/>
        </w:rPr>
        <w:t>CPED</w:t>
      </w:r>
      <w:r>
        <w:rPr>
          <w:rFonts w:ascii="Arial" w:hAnsi="Arial"/>
          <w:sz w:val="22"/>
        </w:rPr>
        <w:t xml:space="preserve"> or HRA, as applicable.</w:t>
      </w:r>
    </w:p>
    <w:p w:rsidR="005F6082" w:rsidRPr="00E03091" w:rsidRDefault="005F6082" w:rsidP="003A14BA">
      <w:pPr>
        <w:pStyle w:val="Heading2"/>
        <w:ind w:left="720"/>
        <w:rPr>
          <w:rFonts w:ascii="Arial" w:hAnsi="Arial"/>
          <w:i w:val="0"/>
          <w:sz w:val="22"/>
        </w:rPr>
      </w:pPr>
      <w:bookmarkStart w:id="14" w:name="_Toc511902993"/>
      <w:r w:rsidRPr="00E03091">
        <w:rPr>
          <w:rFonts w:ascii="Arial" w:hAnsi="Arial"/>
          <w:i w:val="0"/>
          <w:sz w:val="22"/>
        </w:rPr>
        <w:t>J.</w:t>
      </w:r>
      <w:r w:rsidRPr="00E03091">
        <w:rPr>
          <w:rFonts w:ascii="Arial" w:hAnsi="Arial"/>
          <w:i w:val="0"/>
          <w:sz w:val="22"/>
        </w:rPr>
        <w:tab/>
        <w:t>Qualified Census Tracts and Difficult Development Areas</w:t>
      </w:r>
      <w:r w:rsidRPr="00E03091">
        <w:rPr>
          <w:rFonts w:ascii="Arial" w:hAnsi="Arial"/>
          <w:i w:val="0"/>
          <w:sz w:val="22"/>
        </w:rPr>
        <w:fldChar w:fldCharType="begin"/>
      </w:r>
      <w:r w:rsidRPr="00E03091">
        <w:rPr>
          <w:rFonts w:ascii="Arial" w:hAnsi="Arial"/>
          <w:i w:val="0"/>
          <w:sz w:val="22"/>
        </w:rPr>
        <w:instrText>tc \l2 "J.</w:instrText>
      </w:r>
      <w:r w:rsidRPr="00E03091">
        <w:rPr>
          <w:rFonts w:ascii="Arial" w:hAnsi="Arial"/>
          <w:i w:val="0"/>
          <w:sz w:val="22"/>
        </w:rPr>
        <w:tab/>
        <w:instrText>Qualified Census Tracts and Difficult Development Areas</w:instrText>
      </w:r>
      <w:r w:rsidRPr="00E03091">
        <w:rPr>
          <w:rFonts w:ascii="Arial" w:hAnsi="Arial"/>
          <w:i w:val="0"/>
          <w:sz w:val="22"/>
        </w:rPr>
        <w:fldChar w:fldCharType="end"/>
      </w:r>
      <w:bookmarkEnd w:id="14"/>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975E71" w:rsidRDefault="00975E71" w:rsidP="00975E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975E71">
        <w:rPr>
          <w:rFonts w:ascii="Arial" w:hAnsi="Arial"/>
          <w:sz w:val="22"/>
        </w:rPr>
        <w:t xml:space="preserve">Pursuant to Section 42(d)(5) of the Code, the Board may increase </w:t>
      </w:r>
      <w:r w:rsidR="00022AA5">
        <w:rPr>
          <w:rFonts w:ascii="Arial" w:hAnsi="Arial"/>
          <w:sz w:val="22"/>
        </w:rPr>
        <w:t xml:space="preserve">or “boost” </w:t>
      </w:r>
      <w:r w:rsidRPr="00975E71">
        <w:rPr>
          <w:rFonts w:ascii="Arial" w:hAnsi="Arial"/>
          <w:sz w:val="22"/>
        </w:rPr>
        <w:t xml:space="preserve">the eligible basis of a building </w:t>
      </w:r>
      <w:r w:rsidR="00022AA5">
        <w:rPr>
          <w:rFonts w:ascii="Arial" w:hAnsi="Arial"/>
          <w:sz w:val="22"/>
        </w:rPr>
        <w:t xml:space="preserve">for </w:t>
      </w:r>
      <w:r w:rsidR="00052209">
        <w:rPr>
          <w:rFonts w:ascii="Arial" w:hAnsi="Arial"/>
          <w:sz w:val="22"/>
        </w:rPr>
        <w:t xml:space="preserve">purposes of the allocation of </w:t>
      </w:r>
      <w:r w:rsidR="00022AA5">
        <w:rPr>
          <w:rFonts w:ascii="Arial" w:hAnsi="Arial"/>
          <w:sz w:val="22"/>
        </w:rPr>
        <w:t xml:space="preserve">HTC by </w:t>
      </w:r>
      <w:r w:rsidR="00D22A72">
        <w:rPr>
          <w:rFonts w:ascii="Arial" w:hAnsi="Arial"/>
          <w:sz w:val="22"/>
        </w:rPr>
        <w:t xml:space="preserve">up to 30 percent </w:t>
      </w:r>
      <w:r w:rsidR="00022AA5">
        <w:rPr>
          <w:rFonts w:ascii="Arial" w:hAnsi="Arial"/>
          <w:sz w:val="22"/>
        </w:rPr>
        <w:t xml:space="preserve">(“Basis Boost”) </w:t>
      </w:r>
      <w:r w:rsidRPr="00975E71">
        <w:rPr>
          <w:rFonts w:ascii="Arial" w:hAnsi="Arial"/>
          <w:sz w:val="22"/>
        </w:rPr>
        <w:t>for projects located in a</w:t>
      </w:r>
      <w:r w:rsidR="00022AA5">
        <w:rPr>
          <w:rFonts w:ascii="Arial" w:hAnsi="Arial"/>
          <w:sz w:val="22"/>
        </w:rPr>
        <w:t xml:space="preserve"> </w:t>
      </w:r>
      <w:r w:rsidR="00934356">
        <w:rPr>
          <w:rFonts w:ascii="Arial" w:hAnsi="Arial"/>
          <w:sz w:val="22"/>
        </w:rPr>
        <w:t xml:space="preserve">HUD designated </w:t>
      </w:r>
      <w:r w:rsidRPr="00975E71">
        <w:rPr>
          <w:rFonts w:ascii="Arial" w:hAnsi="Arial"/>
          <w:sz w:val="22"/>
        </w:rPr>
        <w:t>q</w:t>
      </w:r>
      <w:r w:rsidR="005F6082" w:rsidRPr="00975E71">
        <w:rPr>
          <w:rFonts w:ascii="Arial" w:hAnsi="Arial"/>
          <w:sz w:val="22"/>
        </w:rPr>
        <w:t>ualified</w:t>
      </w:r>
      <w:r w:rsidR="005F6082">
        <w:rPr>
          <w:rFonts w:ascii="Arial" w:hAnsi="Arial"/>
          <w:sz w:val="22"/>
        </w:rPr>
        <w:t xml:space="preserve"> </w:t>
      </w:r>
      <w:r w:rsidR="00022AA5">
        <w:rPr>
          <w:rFonts w:ascii="Arial" w:hAnsi="Arial"/>
          <w:sz w:val="22"/>
        </w:rPr>
        <w:t>census tract</w:t>
      </w:r>
      <w:r w:rsidR="00934356">
        <w:rPr>
          <w:rFonts w:ascii="Arial" w:hAnsi="Arial"/>
          <w:sz w:val="22"/>
        </w:rPr>
        <w:t xml:space="preserve"> </w:t>
      </w:r>
      <w:r w:rsidR="00022AA5">
        <w:rPr>
          <w:rFonts w:ascii="Arial" w:hAnsi="Arial"/>
          <w:sz w:val="22"/>
        </w:rPr>
        <w:t>(“QCT”)</w:t>
      </w:r>
      <w:r w:rsidR="008A311B">
        <w:rPr>
          <w:rFonts w:ascii="Arial" w:hAnsi="Arial"/>
          <w:sz w:val="22"/>
        </w:rPr>
        <w:t xml:space="preserve"> </w:t>
      </w:r>
      <w:r>
        <w:rPr>
          <w:rFonts w:ascii="Arial" w:hAnsi="Arial"/>
          <w:sz w:val="22"/>
        </w:rPr>
        <w:t xml:space="preserve">or </w:t>
      </w:r>
      <w:r w:rsidR="00934356">
        <w:rPr>
          <w:rFonts w:ascii="Arial" w:hAnsi="Arial"/>
          <w:sz w:val="22"/>
        </w:rPr>
        <w:t xml:space="preserve">a HUD designated </w:t>
      </w:r>
      <w:r>
        <w:rPr>
          <w:rFonts w:ascii="Arial" w:hAnsi="Arial"/>
          <w:sz w:val="22"/>
        </w:rPr>
        <w:t>d</w:t>
      </w:r>
      <w:r w:rsidR="005F6082">
        <w:rPr>
          <w:rFonts w:ascii="Arial" w:hAnsi="Arial"/>
          <w:sz w:val="22"/>
        </w:rPr>
        <w:t>ifficult deve</w:t>
      </w:r>
      <w:r>
        <w:rPr>
          <w:rFonts w:ascii="Arial" w:hAnsi="Arial"/>
          <w:sz w:val="22"/>
        </w:rPr>
        <w:t>lopment area</w:t>
      </w:r>
      <w:r w:rsidR="008A311B">
        <w:rPr>
          <w:rFonts w:ascii="Arial" w:hAnsi="Arial"/>
          <w:sz w:val="22"/>
        </w:rPr>
        <w:t xml:space="preserve"> </w:t>
      </w:r>
      <w:r w:rsidR="00022AA5">
        <w:rPr>
          <w:rFonts w:ascii="Arial" w:hAnsi="Arial"/>
          <w:sz w:val="22"/>
        </w:rPr>
        <w:t>(“DDA”)</w:t>
      </w:r>
      <w:r w:rsidR="005F6082">
        <w:rPr>
          <w:rFonts w:ascii="Arial" w:hAnsi="Arial"/>
          <w:sz w:val="22"/>
        </w:rPr>
        <w:t>.</w:t>
      </w:r>
    </w:p>
    <w:p w:rsidR="00975E71" w:rsidRDefault="00975E71" w:rsidP="00975E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1102E" w:rsidRDefault="00022AA5" w:rsidP="0093435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Pr>
          <w:rFonts w:ascii="Arial" w:hAnsi="Arial"/>
          <w:sz w:val="22"/>
        </w:rPr>
        <w:t>In addition, as authorized by, t</w:t>
      </w:r>
      <w:r w:rsidRPr="00022AA5">
        <w:rPr>
          <w:rFonts w:ascii="Arial" w:hAnsi="Arial"/>
          <w:sz w:val="22"/>
        </w:rPr>
        <w:t>he Housing and Economic Re</w:t>
      </w:r>
      <w:r>
        <w:rPr>
          <w:rFonts w:ascii="Arial" w:hAnsi="Arial"/>
          <w:sz w:val="22"/>
        </w:rPr>
        <w:t xml:space="preserve">covery Act of </w:t>
      </w:r>
      <w:r w:rsidR="000D6D92">
        <w:rPr>
          <w:rFonts w:ascii="Arial" w:hAnsi="Arial"/>
          <w:sz w:val="22"/>
        </w:rPr>
        <w:t>2008,</w:t>
      </w:r>
      <w:r>
        <w:rPr>
          <w:rFonts w:ascii="Arial" w:hAnsi="Arial"/>
          <w:sz w:val="22"/>
        </w:rPr>
        <w:t xml:space="preserve"> the Board </w:t>
      </w:r>
      <w:r w:rsidRPr="00022AA5">
        <w:rPr>
          <w:rFonts w:ascii="Arial" w:hAnsi="Arial"/>
          <w:sz w:val="22"/>
        </w:rPr>
        <w:t xml:space="preserve">may increase or “boost” the eligible basis of a </w:t>
      </w:r>
      <w:r w:rsidR="00934356">
        <w:rPr>
          <w:rFonts w:ascii="Arial" w:hAnsi="Arial"/>
          <w:sz w:val="22"/>
        </w:rPr>
        <w:t>building for</w:t>
      </w:r>
      <w:r>
        <w:rPr>
          <w:rFonts w:ascii="Arial" w:hAnsi="Arial"/>
          <w:sz w:val="22"/>
        </w:rPr>
        <w:t xml:space="preserve"> purposes </w:t>
      </w:r>
      <w:r w:rsidR="00052209">
        <w:rPr>
          <w:rFonts w:ascii="Arial" w:hAnsi="Arial"/>
          <w:sz w:val="22"/>
        </w:rPr>
        <w:t xml:space="preserve">of the allocation of </w:t>
      </w:r>
      <w:r w:rsidR="00934356">
        <w:rPr>
          <w:rFonts w:ascii="Arial" w:hAnsi="Arial"/>
          <w:sz w:val="22"/>
        </w:rPr>
        <w:t>HTC by up to 30</w:t>
      </w:r>
      <w:r w:rsidR="00D22A72">
        <w:rPr>
          <w:rFonts w:ascii="Arial" w:hAnsi="Arial"/>
          <w:sz w:val="22"/>
        </w:rPr>
        <w:t xml:space="preserve"> </w:t>
      </w:r>
      <w:r w:rsidR="000D6D92">
        <w:rPr>
          <w:rFonts w:ascii="Arial" w:hAnsi="Arial"/>
          <w:sz w:val="22"/>
        </w:rPr>
        <w:t>percent (</w:t>
      </w:r>
      <w:r w:rsidR="00934356">
        <w:rPr>
          <w:rFonts w:ascii="Arial" w:hAnsi="Arial"/>
          <w:sz w:val="22"/>
        </w:rPr>
        <w:t xml:space="preserve">“Discretionary Boost”) for </w:t>
      </w:r>
      <w:r w:rsidRPr="00022AA5">
        <w:rPr>
          <w:rFonts w:ascii="Arial" w:hAnsi="Arial"/>
          <w:sz w:val="22"/>
        </w:rPr>
        <w:t>buildings</w:t>
      </w:r>
      <w:r w:rsidR="00934356">
        <w:rPr>
          <w:rFonts w:ascii="Arial" w:hAnsi="Arial"/>
          <w:sz w:val="22"/>
        </w:rPr>
        <w:t xml:space="preserve"> that are located outside of a QCT </w:t>
      </w:r>
      <w:r w:rsidRPr="00022AA5">
        <w:rPr>
          <w:rFonts w:ascii="Arial" w:hAnsi="Arial"/>
          <w:sz w:val="22"/>
        </w:rPr>
        <w:t xml:space="preserve">or </w:t>
      </w:r>
      <w:r w:rsidR="00934356">
        <w:rPr>
          <w:rFonts w:ascii="Arial" w:hAnsi="Arial"/>
          <w:sz w:val="22"/>
        </w:rPr>
        <w:t>DDA. The Board</w:t>
      </w:r>
      <w:r w:rsidRPr="00022AA5">
        <w:rPr>
          <w:rFonts w:ascii="Arial" w:hAnsi="Arial"/>
          <w:sz w:val="22"/>
        </w:rPr>
        <w:t xml:space="preserve"> will review the financial feasibility of the project and the request for </w:t>
      </w:r>
      <w:r w:rsidR="00D22A72">
        <w:rPr>
          <w:rFonts w:ascii="Arial" w:hAnsi="Arial"/>
          <w:sz w:val="22"/>
        </w:rPr>
        <w:t xml:space="preserve">the </w:t>
      </w:r>
      <w:r w:rsidR="00934356">
        <w:rPr>
          <w:rFonts w:ascii="Arial" w:hAnsi="Arial"/>
          <w:sz w:val="22"/>
        </w:rPr>
        <w:t xml:space="preserve">Discretionary </w:t>
      </w:r>
      <w:r w:rsidRPr="00022AA5">
        <w:rPr>
          <w:rFonts w:ascii="Arial" w:hAnsi="Arial"/>
          <w:sz w:val="22"/>
        </w:rPr>
        <w:t xml:space="preserve">Boost in accordance with this </w:t>
      </w:r>
      <w:r w:rsidR="00D22A72">
        <w:rPr>
          <w:rFonts w:ascii="Arial" w:hAnsi="Arial"/>
          <w:sz w:val="22"/>
        </w:rPr>
        <w:t>Procedural Manual</w:t>
      </w:r>
      <w:r w:rsidRPr="00022AA5">
        <w:rPr>
          <w:rFonts w:ascii="Arial" w:hAnsi="Arial"/>
          <w:sz w:val="22"/>
        </w:rPr>
        <w:t xml:space="preserve">. </w:t>
      </w:r>
      <w:r w:rsidR="0021102E" w:rsidRPr="00975E71">
        <w:rPr>
          <w:rFonts w:ascii="Arial" w:hAnsi="Arial" w:cs="Arial"/>
          <w:sz w:val="22"/>
          <w:szCs w:val="22"/>
        </w:rPr>
        <w:t xml:space="preserve">The </w:t>
      </w:r>
      <w:r w:rsidR="00934356">
        <w:rPr>
          <w:rFonts w:ascii="Arial" w:hAnsi="Arial" w:cs="Arial"/>
          <w:sz w:val="22"/>
          <w:szCs w:val="22"/>
        </w:rPr>
        <w:t xml:space="preserve">Discretionary Boost </w:t>
      </w:r>
      <w:r w:rsidR="0021102E" w:rsidRPr="00975E71">
        <w:rPr>
          <w:rFonts w:ascii="Arial" w:hAnsi="Arial" w:cs="Arial"/>
          <w:sz w:val="22"/>
          <w:szCs w:val="22"/>
        </w:rPr>
        <w:t xml:space="preserve">will not apply to </w:t>
      </w:r>
      <w:r w:rsidR="00052209">
        <w:rPr>
          <w:rFonts w:ascii="Arial" w:hAnsi="Arial" w:cs="Arial"/>
          <w:sz w:val="22"/>
          <w:szCs w:val="22"/>
        </w:rPr>
        <w:t xml:space="preserve">buildings that need more HTC than the actual </w:t>
      </w:r>
      <w:r w:rsidR="00934356">
        <w:rPr>
          <w:rFonts w:ascii="Arial" w:hAnsi="Arial" w:cs="Arial"/>
          <w:sz w:val="22"/>
          <w:szCs w:val="22"/>
        </w:rPr>
        <w:t xml:space="preserve">HTC </w:t>
      </w:r>
      <w:r w:rsidR="0021102E" w:rsidRPr="00975E71">
        <w:rPr>
          <w:rFonts w:ascii="Arial" w:hAnsi="Arial" w:cs="Arial"/>
          <w:sz w:val="22"/>
          <w:szCs w:val="22"/>
        </w:rPr>
        <w:t>al</w:t>
      </w:r>
      <w:r w:rsidR="00842F9E">
        <w:rPr>
          <w:rFonts w:ascii="Arial" w:hAnsi="Arial" w:cs="Arial"/>
          <w:sz w:val="22"/>
          <w:szCs w:val="22"/>
        </w:rPr>
        <w:t>located to the Board</w:t>
      </w:r>
      <w:r w:rsidR="00934356">
        <w:rPr>
          <w:rFonts w:ascii="Arial" w:hAnsi="Arial" w:cs="Arial"/>
          <w:sz w:val="22"/>
          <w:szCs w:val="22"/>
        </w:rPr>
        <w:t xml:space="preserve"> by </w:t>
      </w:r>
      <w:r w:rsidR="00052209">
        <w:rPr>
          <w:rFonts w:ascii="Arial" w:hAnsi="Arial"/>
          <w:sz w:val="22"/>
        </w:rPr>
        <w:t xml:space="preserve">Minnesota Housing </w:t>
      </w:r>
      <w:r w:rsidR="00210E7A">
        <w:rPr>
          <w:rFonts w:ascii="Arial" w:hAnsi="Arial" w:cs="Arial"/>
          <w:sz w:val="22"/>
          <w:szCs w:val="22"/>
        </w:rPr>
        <w:t xml:space="preserve">or </w:t>
      </w:r>
      <w:r w:rsidR="00842F9E">
        <w:rPr>
          <w:rFonts w:ascii="Arial" w:hAnsi="Arial" w:cs="Arial"/>
          <w:sz w:val="22"/>
          <w:szCs w:val="22"/>
        </w:rPr>
        <w:t xml:space="preserve">to </w:t>
      </w:r>
      <w:r w:rsidR="00210E7A">
        <w:rPr>
          <w:rFonts w:ascii="Arial" w:hAnsi="Arial" w:cs="Arial"/>
          <w:sz w:val="22"/>
          <w:szCs w:val="22"/>
        </w:rPr>
        <w:t xml:space="preserve">projects receiving </w:t>
      </w:r>
      <w:r w:rsidR="00842F9E">
        <w:rPr>
          <w:rFonts w:ascii="Arial" w:hAnsi="Arial" w:cs="Arial"/>
          <w:sz w:val="22"/>
          <w:szCs w:val="22"/>
        </w:rPr>
        <w:t xml:space="preserve">an allocation of </w:t>
      </w:r>
      <w:r w:rsidR="00052209">
        <w:rPr>
          <w:rFonts w:ascii="Arial" w:hAnsi="Arial" w:cs="Arial"/>
          <w:sz w:val="22"/>
          <w:szCs w:val="22"/>
        </w:rPr>
        <w:t xml:space="preserve">4% </w:t>
      </w:r>
      <w:r w:rsidR="00210E7A">
        <w:rPr>
          <w:rFonts w:ascii="Arial" w:hAnsi="Arial" w:cs="Arial"/>
          <w:sz w:val="22"/>
          <w:szCs w:val="22"/>
        </w:rPr>
        <w:t>HTC.</w:t>
      </w:r>
    </w:p>
    <w:p w:rsidR="00210E7A" w:rsidRDefault="00210E7A" w:rsidP="0093435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210E7A" w:rsidRPr="00975E71" w:rsidRDefault="00CE7EF3" w:rsidP="0093435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cs="Arial"/>
          <w:sz w:val="22"/>
          <w:szCs w:val="22"/>
        </w:rPr>
        <w:t xml:space="preserve">9% </w:t>
      </w:r>
      <w:r w:rsidR="00BD7596">
        <w:rPr>
          <w:rFonts w:ascii="Arial" w:hAnsi="Arial" w:cs="Arial"/>
          <w:sz w:val="22"/>
          <w:szCs w:val="22"/>
        </w:rPr>
        <w:t>HTC</w:t>
      </w:r>
      <w:r>
        <w:rPr>
          <w:rFonts w:ascii="Arial" w:hAnsi="Arial" w:cs="Arial"/>
          <w:sz w:val="22"/>
          <w:szCs w:val="22"/>
        </w:rPr>
        <w:t xml:space="preserve"> a</w:t>
      </w:r>
      <w:r w:rsidR="00210E7A">
        <w:rPr>
          <w:rFonts w:ascii="Arial" w:hAnsi="Arial" w:cs="Arial"/>
          <w:sz w:val="22"/>
          <w:szCs w:val="22"/>
        </w:rPr>
        <w:t>pplicants may request</w:t>
      </w:r>
      <w:r w:rsidR="003A5634">
        <w:rPr>
          <w:rFonts w:ascii="Arial" w:hAnsi="Arial" w:cs="Arial"/>
          <w:sz w:val="22"/>
          <w:szCs w:val="22"/>
        </w:rPr>
        <w:t>, in writing,</w:t>
      </w:r>
      <w:r w:rsidR="00210E7A">
        <w:rPr>
          <w:rFonts w:ascii="Arial" w:hAnsi="Arial" w:cs="Arial"/>
          <w:sz w:val="22"/>
          <w:szCs w:val="22"/>
        </w:rPr>
        <w:t xml:space="preserve"> the Discretionary </w:t>
      </w:r>
      <w:r w:rsidR="00210E7A" w:rsidRPr="00210E7A">
        <w:rPr>
          <w:rFonts w:ascii="Arial" w:hAnsi="Arial" w:cs="Arial"/>
          <w:sz w:val="22"/>
          <w:szCs w:val="22"/>
        </w:rPr>
        <w:t xml:space="preserve">Boost under the </w:t>
      </w:r>
      <w:r w:rsidR="00210E7A" w:rsidRPr="00210E7A">
        <w:rPr>
          <w:rFonts w:ascii="Arial" w:hAnsi="Arial" w:cs="Arial"/>
          <w:sz w:val="22"/>
          <w:szCs w:val="22"/>
        </w:rPr>
        <w:lastRenderedPageBreak/>
        <w:t>fo</w:t>
      </w:r>
      <w:r w:rsidR="00210E7A">
        <w:rPr>
          <w:rFonts w:ascii="Arial" w:hAnsi="Arial" w:cs="Arial"/>
          <w:sz w:val="22"/>
          <w:szCs w:val="22"/>
        </w:rPr>
        <w:t xml:space="preserve">llowing guidelines if the Discretionary </w:t>
      </w:r>
      <w:r w:rsidR="00210E7A" w:rsidRPr="00210E7A">
        <w:rPr>
          <w:rFonts w:ascii="Arial" w:hAnsi="Arial" w:cs="Arial"/>
          <w:sz w:val="22"/>
          <w:szCs w:val="22"/>
        </w:rPr>
        <w:t xml:space="preserve">Boost is needed to make the </w:t>
      </w:r>
      <w:r w:rsidR="00210E7A">
        <w:rPr>
          <w:rFonts w:ascii="Arial" w:hAnsi="Arial" w:cs="Arial"/>
          <w:sz w:val="22"/>
          <w:szCs w:val="22"/>
        </w:rPr>
        <w:t xml:space="preserve">project </w:t>
      </w:r>
      <w:r w:rsidR="00210E7A" w:rsidRPr="00210E7A">
        <w:rPr>
          <w:rFonts w:ascii="Arial" w:hAnsi="Arial" w:cs="Arial"/>
          <w:sz w:val="22"/>
          <w:szCs w:val="22"/>
        </w:rPr>
        <w:t>financially feasible</w:t>
      </w:r>
      <w:r w:rsidR="00210E7A">
        <w:rPr>
          <w:rFonts w:ascii="Arial" w:hAnsi="Arial" w:cs="Arial"/>
          <w:sz w:val="22"/>
          <w:szCs w:val="22"/>
        </w:rPr>
        <w:t>:</w:t>
      </w:r>
    </w:p>
    <w:p w:rsidR="0021102E" w:rsidRDefault="0021102E"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07EA9" w:rsidRPr="006247FB" w:rsidRDefault="00210E7A" w:rsidP="00B944E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szCs w:val="22"/>
        </w:rPr>
      </w:pPr>
      <w:r>
        <w:rPr>
          <w:rFonts w:ascii="Arial" w:hAnsi="Arial"/>
          <w:sz w:val="22"/>
          <w:szCs w:val="22"/>
        </w:rPr>
        <w:t>(1)</w:t>
      </w:r>
      <w:r w:rsidR="002648F4">
        <w:rPr>
          <w:rFonts w:ascii="Arial" w:hAnsi="Arial"/>
          <w:sz w:val="22"/>
          <w:szCs w:val="22"/>
        </w:rPr>
        <w:tab/>
      </w:r>
      <w:r w:rsidR="00600022">
        <w:rPr>
          <w:rFonts w:ascii="Arial" w:hAnsi="Arial"/>
          <w:sz w:val="22"/>
          <w:szCs w:val="22"/>
        </w:rPr>
        <w:t xml:space="preserve">Projects </w:t>
      </w:r>
      <w:r w:rsidR="00E07EA9" w:rsidRPr="006247FB">
        <w:rPr>
          <w:rFonts w:ascii="Arial" w:hAnsi="Arial"/>
          <w:sz w:val="22"/>
          <w:szCs w:val="22"/>
        </w:rPr>
        <w:t>meet</w:t>
      </w:r>
      <w:r w:rsidR="00D22A72">
        <w:rPr>
          <w:rFonts w:ascii="Arial" w:hAnsi="Arial"/>
          <w:sz w:val="22"/>
          <w:szCs w:val="22"/>
        </w:rPr>
        <w:t>ing</w:t>
      </w:r>
      <w:r w:rsidR="00E07EA9" w:rsidRPr="006247FB">
        <w:rPr>
          <w:rFonts w:ascii="Arial" w:hAnsi="Arial"/>
          <w:sz w:val="22"/>
          <w:szCs w:val="22"/>
        </w:rPr>
        <w:t xml:space="preserve"> CPED or HRA</w:t>
      </w:r>
      <w:r w:rsidR="00CE7EF3">
        <w:rPr>
          <w:rFonts w:ascii="Arial" w:hAnsi="Arial"/>
          <w:sz w:val="22"/>
          <w:szCs w:val="22"/>
        </w:rPr>
        <w:t>’s</w:t>
      </w:r>
      <w:r w:rsidR="00E07EA9" w:rsidRPr="006247FB">
        <w:rPr>
          <w:rFonts w:ascii="Arial" w:hAnsi="Arial"/>
          <w:sz w:val="22"/>
          <w:szCs w:val="22"/>
        </w:rPr>
        <w:t xml:space="preserve"> identified </w:t>
      </w:r>
      <w:r w:rsidR="00E07EA9" w:rsidRPr="00052209">
        <w:rPr>
          <w:rFonts w:ascii="Arial" w:hAnsi="Arial"/>
          <w:sz w:val="22"/>
          <w:szCs w:val="22"/>
        </w:rPr>
        <w:t>housing priorities</w:t>
      </w:r>
      <w:r w:rsidR="00E07EA9" w:rsidRPr="006247FB">
        <w:rPr>
          <w:rFonts w:ascii="Arial" w:hAnsi="Arial"/>
          <w:sz w:val="22"/>
          <w:szCs w:val="22"/>
        </w:rPr>
        <w:t xml:space="preserve"> </w:t>
      </w:r>
      <w:r w:rsidR="000D6D92">
        <w:rPr>
          <w:rFonts w:ascii="Arial" w:hAnsi="Arial"/>
          <w:sz w:val="22"/>
          <w:szCs w:val="22"/>
        </w:rPr>
        <w:t>set forth</w:t>
      </w:r>
      <w:r w:rsidR="00CE7EF3">
        <w:rPr>
          <w:rFonts w:ascii="Arial" w:hAnsi="Arial"/>
          <w:sz w:val="22"/>
          <w:szCs w:val="22"/>
        </w:rPr>
        <w:t xml:space="preserve"> in the QAP</w:t>
      </w:r>
      <w:r w:rsidR="00E07EA9" w:rsidRPr="006247FB">
        <w:rPr>
          <w:rFonts w:ascii="Arial" w:hAnsi="Arial"/>
          <w:sz w:val="22"/>
          <w:szCs w:val="22"/>
        </w:rPr>
        <w:t xml:space="preserve">, and </w:t>
      </w:r>
      <w:r w:rsidR="00CE7EF3">
        <w:rPr>
          <w:rFonts w:ascii="Arial" w:hAnsi="Arial"/>
          <w:sz w:val="22"/>
          <w:szCs w:val="22"/>
        </w:rPr>
        <w:t xml:space="preserve">which </w:t>
      </w:r>
      <w:r w:rsidR="00E07EA9" w:rsidRPr="006247FB">
        <w:rPr>
          <w:rFonts w:ascii="Arial" w:hAnsi="Arial"/>
          <w:sz w:val="22"/>
          <w:szCs w:val="22"/>
        </w:rPr>
        <w:t>involve community revitalization, preservation of ex</w:t>
      </w:r>
      <w:r w:rsidR="001867DF" w:rsidRPr="006247FB">
        <w:rPr>
          <w:rFonts w:ascii="Arial" w:hAnsi="Arial"/>
          <w:sz w:val="22"/>
          <w:szCs w:val="22"/>
        </w:rPr>
        <w:t>is</w:t>
      </w:r>
      <w:r w:rsidR="00E07EA9" w:rsidRPr="006247FB">
        <w:rPr>
          <w:rFonts w:ascii="Arial" w:hAnsi="Arial"/>
          <w:sz w:val="22"/>
          <w:szCs w:val="22"/>
        </w:rPr>
        <w:t>ting federally-assisted bui</w:t>
      </w:r>
      <w:r w:rsidR="0050483E" w:rsidRPr="006247FB">
        <w:rPr>
          <w:rFonts w:ascii="Arial" w:hAnsi="Arial"/>
          <w:sz w:val="22"/>
          <w:szCs w:val="22"/>
        </w:rPr>
        <w:t>l</w:t>
      </w:r>
      <w:r w:rsidR="00E07EA9" w:rsidRPr="006247FB">
        <w:rPr>
          <w:rFonts w:ascii="Arial" w:hAnsi="Arial"/>
          <w:sz w:val="22"/>
          <w:szCs w:val="22"/>
        </w:rPr>
        <w:t>d</w:t>
      </w:r>
      <w:r w:rsidR="0050483E" w:rsidRPr="006247FB">
        <w:rPr>
          <w:rFonts w:ascii="Arial" w:hAnsi="Arial"/>
          <w:sz w:val="22"/>
          <w:szCs w:val="22"/>
        </w:rPr>
        <w:t>ings</w:t>
      </w:r>
      <w:r w:rsidR="00E07EA9" w:rsidRPr="006247FB">
        <w:rPr>
          <w:rFonts w:ascii="Arial" w:hAnsi="Arial"/>
          <w:sz w:val="22"/>
          <w:szCs w:val="22"/>
        </w:rPr>
        <w:t>, housing with rents affordable to households at or below 30 percent of</w:t>
      </w:r>
      <w:r w:rsidR="00CE7EF3">
        <w:rPr>
          <w:rFonts w:ascii="Arial" w:hAnsi="Arial"/>
          <w:sz w:val="22"/>
          <w:szCs w:val="22"/>
        </w:rPr>
        <w:t xml:space="preserve"> area </w:t>
      </w:r>
      <w:r w:rsidR="00E07EA9" w:rsidRPr="006247FB">
        <w:rPr>
          <w:rFonts w:ascii="Arial" w:hAnsi="Arial"/>
          <w:sz w:val="22"/>
          <w:szCs w:val="22"/>
        </w:rPr>
        <w:t>median i</w:t>
      </w:r>
      <w:r w:rsidR="000D71D8">
        <w:rPr>
          <w:rFonts w:ascii="Arial" w:hAnsi="Arial"/>
          <w:sz w:val="22"/>
          <w:szCs w:val="22"/>
        </w:rPr>
        <w:t>n</w:t>
      </w:r>
      <w:r w:rsidR="0050483E" w:rsidRPr="006247FB">
        <w:rPr>
          <w:rFonts w:ascii="Arial" w:hAnsi="Arial"/>
          <w:sz w:val="22"/>
          <w:szCs w:val="22"/>
        </w:rPr>
        <w:t>come, including homeless households with supportive services, or in response to significant proposed expansions in area employment or na</w:t>
      </w:r>
      <w:r w:rsidR="00842F9E">
        <w:rPr>
          <w:rFonts w:ascii="Arial" w:hAnsi="Arial"/>
          <w:sz w:val="22"/>
          <w:szCs w:val="22"/>
        </w:rPr>
        <w:t>tural disaster recovery efforts or</w:t>
      </w:r>
    </w:p>
    <w:p w:rsidR="0050483E" w:rsidRPr="006247FB" w:rsidRDefault="0050483E" w:rsidP="00DF19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50483E" w:rsidRPr="006247FB" w:rsidRDefault="00B944EB" w:rsidP="003A56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ab/>
      </w:r>
      <w:r w:rsidR="00210E7A">
        <w:rPr>
          <w:rFonts w:ascii="Arial" w:hAnsi="Arial"/>
          <w:sz w:val="22"/>
          <w:szCs w:val="22"/>
        </w:rPr>
        <w:t>(2)</w:t>
      </w:r>
      <w:r w:rsidR="002648F4">
        <w:rPr>
          <w:rFonts w:ascii="Arial" w:hAnsi="Arial"/>
          <w:sz w:val="22"/>
          <w:szCs w:val="22"/>
        </w:rPr>
        <w:tab/>
      </w:r>
      <w:r w:rsidR="0050483E" w:rsidRPr="006247FB">
        <w:rPr>
          <w:rFonts w:ascii="Arial" w:hAnsi="Arial"/>
          <w:sz w:val="22"/>
          <w:szCs w:val="22"/>
        </w:rPr>
        <w:t>Funding gaps re</w:t>
      </w:r>
      <w:r w:rsidR="001867DF" w:rsidRPr="006247FB">
        <w:rPr>
          <w:rFonts w:ascii="Arial" w:hAnsi="Arial"/>
          <w:sz w:val="22"/>
          <w:szCs w:val="22"/>
        </w:rPr>
        <w:t xml:space="preserve">main </w:t>
      </w:r>
      <w:r w:rsidR="0050483E" w:rsidRPr="00052209">
        <w:rPr>
          <w:rFonts w:ascii="Arial" w:hAnsi="Arial"/>
          <w:sz w:val="22"/>
          <w:szCs w:val="22"/>
        </w:rPr>
        <w:t xml:space="preserve">for top ranking </w:t>
      </w:r>
      <w:r w:rsidR="00600022" w:rsidRPr="00052209">
        <w:rPr>
          <w:rFonts w:ascii="Arial" w:hAnsi="Arial" w:cs="Arial"/>
          <w:sz w:val="22"/>
          <w:szCs w:val="22"/>
        </w:rPr>
        <w:t>HTC projects</w:t>
      </w:r>
      <w:r w:rsidR="0050483E" w:rsidRPr="00052209">
        <w:rPr>
          <w:rFonts w:ascii="Arial" w:hAnsi="Arial"/>
          <w:sz w:val="22"/>
          <w:szCs w:val="22"/>
        </w:rPr>
        <w:t>.</w:t>
      </w:r>
    </w:p>
    <w:p w:rsidR="00676FB1" w:rsidRDefault="00676FB1"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6535B4" w:rsidRPr="000751CC" w:rsidRDefault="00676FB1" w:rsidP="00676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Pr>
          <w:rFonts w:ascii="Arial" w:hAnsi="Arial"/>
          <w:b/>
          <w:sz w:val="22"/>
          <w:szCs w:val="22"/>
        </w:rPr>
        <w:tab/>
      </w:r>
      <w:r w:rsidR="006535B4" w:rsidRPr="000751CC">
        <w:rPr>
          <w:rFonts w:ascii="Arial" w:hAnsi="Arial"/>
          <w:b/>
          <w:sz w:val="22"/>
          <w:szCs w:val="22"/>
        </w:rPr>
        <w:t>K.</w:t>
      </w:r>
      <w:r>
        <w:rPr>
          <w:rFonts w:ascii="Arial" w:hAnsi="Arial"/>
          <w:b/>
          <w:sz w:val="22"/>
          <w:szCs w:val="22"/>
        </w:rPr>
        <w:tab/>
      </w:r>
      <w:r w:rsidR="006535B4" w:rsidRPr="000751CC">
        <w:rPr>
          <w:rFonts w:ascii="Arial" w:hAnsi="Arial"/>
          <w:b/>
          <w:sz w:val="22"/>
          <w:szCs w:val="22"/>
        </w:rPr>
        <w:t xml:space="preserve">Tax Exempt Projects </w:t>
      </w:r>
      <w:r w:rsidR="00C93E5F">
        <w:rPr>
          <w:rFonts w:ascii="Arial" w:hAnsi="Arial"/>
          <w:b/>
          <w:sz w:val="22"/>
          <w:szCs w:val="22"/>
        </w:rPr>
        <w:t xml:space="preserve">and </w:t>
      </w:r>
      <w:r w:rsidR="00052209">
        <w:rPr>
          <w:rFonts w:ascii="Arial" w:hAnsi="Arial"/>
          <w:b/>
          <w:sz w:val="22"/>
          <w:szCs w:val="22"/>
        </w:rPr>
        <w:t xml:space="preserve">4% </w:t>
      </w:r>
      <w:r w:rsidR="003A5634">
        <w:rPr>
          <w:rFonts w:ascii="Arial" w:hAnsi="Arial"/>
          <w:b/>
          <w:sz w:val="22"/>
          <w:szCs w:val="22"/>
        </w:rPr>
        <w:t>HTC</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6535B4" w:rsidRPr="000751CC" w:rsidRDefault="00F334ED" w:rsidP="00B944E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b/>
          <w:sz w:val="22"/>
          <w:szCs w:val="22"/>
        </w:rPr>
      </w:pPr>
      <w:r w:rsidRPr="00F334ED">
        <w:rPr>
          <w:rFonts w:ascii="Arial" w:hAnsi="Arial"/>
          <w:sz w:val="22"/>
          <w:szCs w:val="22"/>
        </w:rPr>
        <w:t>(1)</w:t>
      </w:r>
      <w:r>
        <w:rPr>
          <w:rFonts w:ascii="Arial" w:hAnsi="Arial"/>
          <w:b/>
          <w:sz w:val="22"/>
          <w:szCs w:val="22"/>
        </w:rPr>
        <w:tab/>
      </w:r>
      <w:r w:rsidR="006535B4" w:rsidRPr="000751CC">
        <w:rPr>
          <w:rFonts w:ascii="Arial" w:hAnsi="Arial"/>
          <w:b/>
          <w:sz w:val="22"/>
          <w:szCs w:val="22"/>
        </w:rPr>
        <w:t>General</w:t>
      </w:r>
    </w:p>
    <w:p w:rsidR="006535B4" w:rsidRPr="000751CC" w:rsidRDefault="006535B4" w:rsidP="00676F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5"/>
        <w:jc w:val="both"/>
        <w:rPr>
          <w:rFonts w:ascii="Arial" w:hAnsi="Arial"/>
          <w:b/>
          <w:sz w:val="22"/>
          <w:szCs w:val="22"/>
        </w:rPr>
      </w:pP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0751CC">
        <w:rPr>
          <w:rFonts w:ascii="Arial" w:hAnsi="Arial"/>
          <w:sz w:val="22"/>
          <w:szCs w:val="22"/>
        </w:rPr>
        <w:t xml:space="preserve">Section 42 of the Code establishes a separate set of procedures </w:t>
      </w:r>
      <w:r w:rsidR="00CE7EF3">
        <w:rPr>
          <w:rFonts w:ascii="Arial" w:hAnsi="Arial"/>
          <w:sz w:val="22"/>
          <w:szCs w:val="22"/>
        </w:rPr>
        <w:t xml:space="preserve">for the </w:t>
      </w:r>
      <w:r w:rsidR="00842F9E">
        <w:rPr>
          <w:rFonts w:ascii="Arial" w:hAnsi="Arial"/>
          <w:sz w:val="22"/>
          <w:szCs w:val="22"/>
        </w:rPr>
        <w:t xml:space="preserve">allocation of </w:t>
      </w:r>
      <w:r w:rsidR="00600022">
        <w:rPr>
          <w:rFonts w:ascii="Arial" w:hAnsi="Arial" w:cs="Arial"/>
          <w:sz w:val="22"/>
          <w:szCs w:val="22"/>
        </w:rPr>
        <w:t>HTC</w:t>
      </w:r>
      <w:r w:rsidRPr="000751CC">
        <w:rPr>
          <w:rFonts w:ascii="Arial" w:hAnsi="Arial"/>
          <w:sz w:val="22"/>
          <w:szCs w:val="22"/>
        </w:rPr>
        <w:t xml:space="preserve">s </w:t>
      </w:r>
      <w:r w:rsidR="00842F9E">
        <w:rPr>
          <w:rFonts w:ascii="Arial" w:hAnsi="Arial"/>
          <w:sz w:val="22"/>
          <w:szCs w:val="22"/>
        </w:rPr>
        <w:t xml:space="preserve">in connection with the </w:t>
      </w:r>
      <w:r w:rsidRPr="000751CC">
        <w:rPr>
          <w:rFonts w:ascii="Arial" w:hAnsi="Arial"/>
          <w:sz w:val="22"/>
          <w:szCs w:val="22"/>
        </w:rPr>
        <w:t>issuance of tax exempt bonds</w:t>
      </w:r>
      <w:r w:rsidR="00842F9E">
        <w:rPr>
          <w:rFonts w:ascii="Arial" w:hAnsi="Arial"/>
          <w:sz w:val="22"/>
          <w:szCs w:val="22"/>
        </w:rPr>
        <w:t xml:space="preserve"> pursuant to Section 42 of the Code</w:t>
      </w:r>
      <w:r w:rsidRPr="000751CC">
        <w:rPr>
          <w:rFonts w:ascii="Arial" w:hAnsi="Arial"/>
          <w:sz w:val="22"/>
          <w:szCs w:val="22"/>
        </w:rPr>
        <w:t xml:space="preserve">. </w:t>
      </w:r>
      <w:r w:rsidR="003A5634">
        <w:rPr>
          <w:rFonts w:ascii="Arial" w:hAnsi="Arial"/>
          <w:sz w:val="22"/>
          <w:szCs w:val="22"/>
        </w:rPr>
        <w:t xml:space="preserve"> </w:t>
      </w:r>
      <w:r w:rsidR="00842F9E">
        <w:rPr>
          <w:rFonts w:ascii="Arial" w:hAnsi="Arial"/>
          <w:sz w:val="22"/>
          <w:szCs w:val="22"/>
        </w:rPr>
        <w:t>(</w:t>
      </w:r>
      <w:r w:rsidR="003A5634">
        <w:rPr>
          <w:rFonts w:ascii="Arial" w:hAnsi="Arial"/>
          <w:sz w:val="22"/>
          <w:szCs w:val="22"/>
        </w:rPr>
        <w:t xml:space="preserve">Please review </w:t>
      </w:r>
      <w:r w:rsidRPr="000751CC">
        <w:rPr>
          <w:rFonts w:ascii="Arial" w:hAnsi="Arial"/>
          <w:sz w:val="22"/>
          <w:szCs w:val="22"/>
        </w:rPr>
        <w:t>Article</w:t>
      </w:r>
      <w:r w:rsidR="00842F9E">
        <w:rPr>
          <w:rFonts w:ascii="Arial" w:hAnsi="Arial"/>
          <w:sz w:val="22"/>
          <w:szCs w:val="22"/>
        </w:rPr>
        <w:t xml:space="preserve"> VIII</w:t>
      </w:r>
      <w:r w:rsidRPr="000751CC">
        <w:rPr>
          <w:rFonts w:ascii="Arial" w:hAnsi="Arial"/>
          <w:sz w:val="22"/>
          <w:szCs w:val="22"/>
        </w:rPr>
        <w:t xml:space="preserve"> of the </w:t>
      </w:r>
      <w:r w:rsidR="00100350">
        <w:rPr>
          <w:rFonts w:ascii="Arial" w:hAnsi="Arial"/>
          <w:sz w:val="22"/>
        </w:rPr>
        <w:t>QAP</w:t>
      </w:r>
      <w:r w:rsidRPr="000751CC">
        <w:rPr>
          <w:rFonts w:ascii="Arial" w:hAnsi="Arial"/>
          <w:sz w:val="22"/>
          <w:szCs w:val="22"/>
        </w:rPr>
        <w:t>.</w:t>
      </w:r>
      <w:r w:rsidR="00842F9E">
        <w:rPr>
          <w:rFonts w:ascii="Arial" w:hAnsi="Arial"/>
          <w:sz w:val="22"/>
          <w:szCs w:val="22"/>
        </w:rPr>
        <w:t>)</w:t>
      </w:r>
      <w:r w:rsidRPr="000751CC">
        <w:rPr>
          <w:rFonts w:ascii="Arial" w:hAnsi="Arial"/>
          <w:sz w:val="22"/>
          <w:szCs w:val="22"/>
        </w:rPr>
        <w:t xml:space="preserve"> </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Pr="000751CC" w:rsidRDefault="00842F9E"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Pr>
          <w:rFonts w:ascii="Arial" w:hAnsi="Arial"/>
          <w:sz w:val="22"/>
          <w:szCs w:val="22"/>
        </w:rPr>
        <w:t xml:space="preserve">Applicants </w:t>
      </w:r>
      <w:r w:rsidR="003A5634">
        <w:rPr>
          <w:rFonts w:ascii="Arial" w:hAnsi="Arial"/>
          <w:sz w:val="22"/>
          <w:szCs w:val="22"/>
        </w:rPr>
        <w:t>seeking</w:t>
      </w:r>
      <w:r>
        <w:rPr>
          <w:rFonts w:ascii="Arial" w:hAnsi="Arial"/>
          <w:sz w:val="22"/>
          <w:szCs w:val="22"/>
        </w:rPr>
        <w:t xml:space="preserve"> an allocation of</w:t>
      </w:r>
      <w:r w:rsidR="00100350">
        <w:rPr>
          <w:rFonts w:ascii="Arial" w:hAnsi="Arial"/>
          <w:sz w:val="22"/>
          <w:szCs w:val="22"/>
        </w:rPr>
        <w:t xml:space="preserve"> 4% </w:t>
      </w:r>
      <w:r w:rsidR="003A5634">
        <w:rPr>
          <w:rFonts w:ascii="Arial" w:hAnsi="Arial"/>
          <w:sz w:val="22"/>
          <w:szCs w:val="22"/>
        </w:rPr>
        <w:t>HTC</w:t>
      </w:r>
      <w:r w:rsidR="006535B4" w:rsidRPr="000751CC">
        <w:rPr>
          <w:rFonts w:ascii="Arial" w:hAnsi="Arial"/>
          <w:sz w:val="22"/>
          <w:szCs w:val="22"/>
        </w:rPr>
        <w:t xml:space="preserve"> </w:t>
      </w:r>
      <w:r>
        <w:rPr>
          <w:rFonts w:ascii="Arial" w:hAnsi="Arial"/>
          <w:sz w:val="22"/>
          <w:szCs w:val="22"/>
        </w:rPr>
        <w:t xml:space="preserve">in connection with the development of a project </w:t>
      </w:r>
      <w:r w:rsidR="006535B4" w:rsidRPr="000751CC">
        <w:rPr>
          <w:rFonts w:ascii="Arial" w:hAnsi="Arial"/>
          <w:sz w:val="22"/>
          <w:szCs w:val="22"/>
        </w:rPr>
        <w:t>must c</w:t>
      </w:r>
      <w:r w:rsidR="00600022">
        <w:rPr>
          <w:rFonts w:ascii="Arial" w:hAnsi="Arial"/>
          <w:sz w:val="22"/>
          <w:szCs w:val="22"/>
        </w:rPr>
        <w:t xml:space="preserve">omply with the </w:t>
      </w:r>
      <w:r>
        <w:rPr>
          <w:rFonts w:ascii="Arial" w:hAnsi="Arial"/>
          <w:sz w:val="22"/>
          <w:szCs w:val="22"/>
        </w:rPr>
        <w:t xml:space="preserve">provisions of the </w:t>
      </w:r>
      <w:r w:rsidR="00100350">
        <w:rPr>
          <w:rFonts w:ascii="Arial" w:hAnsi="Arial"/>
          <w:sz w:val="22"/>
        </w:rPr>
        <w:t>QAP</w:t>
      </w:r>
      <w:r w:rsidR="00600022">
        <w:rPr>
          <w:rFonts w:ascii="Arial" w:hAnsi="Arial"/>
          <w:sz w:val="22"/>
          <w:szCs w:val="22"/>
        </w:rPr>
        <w:t xml:space="preserve"> </w:t>
      </w:r>
      <w:r w:rsidR="006535B4" w:rsidRPr="000751CC">
        <w:rPr>
          <w:rFonts w:ascii="Arial" w:hAnsi="Arial"/>
          <w:sz w:val="22"/>
          <w:szCs w:val="22"/>
        </w:rPr>
        <w:t xml:space="preserve">that is in effect for the calendar year in which the tax exempt bonds are first issued. </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Default="00D91C7E"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D91C7E">
        <w:rPr>
          <w:rFonts w:ascii="Arial" w:hAnsi="Arial"/>
          <w:b/>
          <w:sz w:val="22"/>
          <w:szCs w:val="22"/>
        </w:rPr>
        <w:t>NOTE:</w:t>
      </w:r>
      <w:r>
        <w:rPr>
          <w:rFonts w:ascii="Arial" w:hAnsi="Arial"/>
          <w:sz w:val="22"/>
          <w:szCs w:val="22"/>
        </w:rPr>
        <w:t xml:space="preserve">  </w:t>
      </w:r>
      <w:r w:rsidR="00D8459B">
        <w:rPr>
          <w:rFonts w:ascii="Arial" w:hAnsi="Arial"/>
          <w:sz w:val="22"/>
          <w:szCs w:val="22"/>
        </w:rPr>
        <w:t>In addition</w:t>
      </w:r>
      <w:r w:rsidR="000D6D92">
        <w:rPr>
          <w:rFonts w:ascii="Arial" w:hAnsi="Arial"/>
          <w:sz w:val="22"/>
          <w:szCs w:val="22"/>
        </w:rPr>
        <w:t xml:space="preserve">, </w:t>
      </w:r>
      <w:r w:rsidR="000D6D92" w:rsidRPr="000751CC">
        <w:rPr>
          <w:rFonts w:ascii="Arial" w:hAnsi="Arial"/>
          <w:sz w:val="22"/>
          <w:szCs w:val="22"/>
        </w:rPr>
        <w:t>MINN</w:t>
      </w:r>
      <w:r w:rsidR="006535B4" w:rsidRPr="000751CC">
        <w:rPr>
          <w:rFonts w:ascii="Arial" w:hAnsi="Arial"/>
          <w:sz w:val="22"/>
          <w:szCs w:val="22"/>
        </w:rPr>
        <w:t xml:space="preserve">. Stat. </w:t>
      </w:r>
      <w:r w:rsidR="006535B4" w:rsidRPr="000751CC">
        <w:rPr>
          <w:rFonts w:ascii="Arial" w:hAnsi="Arial" w:cs="Arial"/>
          <w:shd w:val="clear" w:color="auto" w:fill="FFFFFF"/>
        </w:rPr>
        <w:t>§</w:t>
      </w:r>
      <w:r w:rsidR="006535B4" w:rsidRPr="000751CC">
        <w:rPr>
          <w:rFonts w:ascii="Arial" w:hAnsi="Arial"/>
          <w:sz w:val="22"/>
          <w:szCs w:val="22"/>
        </w:rPr>
        <w:t xml:space="preserve"> 474A.047,</w:t>
      </w:r>
      <w:r w:rsidR="00D8459B">
        <w:rPr>
          <w:rFonts w:ascii="Arial" w:hAnsi="Arial"/>
          <w:sz w:val="22"/>
          <w:szCs w:val="22"/>
        </w:rPr>
        <w:t xml:space="preserve"> including subdivision 1, </w:t>
      </w:r>
      <w:r w:rsidR="006535B4" w:rsidRPr="000751CC">
        <w:rPr>
          <w:rFonts w:ascii="Arial" w:hAnsi="Arial"/>
          <w:sz w:val="22"/>
          <w:szCs w:val="22"/>
        </w:rPr>
        <w:t>requires the extension of existing U.S. Department of Housing and Urban Development (HUD) Housing Assistance Payment (HAP) contracts to the full extent available.</w:t>
      </w:r>
    </w:p>
    <w:p w:rsidR="00F334ED" w:rsidRDefault="00F334ED" w:rsidP="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6535B4" w:rsidRPr="000751CC" w:rsidRDefault="00F334ED" w:rsidP="00F334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Pr>
          <w:rFonts w:ascii="Arial" w:hAnsi="Arial"/>
          <w:b/>
          <w:sz w:val="22"/>
          <w:szCs w:val="22"/>
        </w:rPr>
        <w:tab/>
      </w:r>
      <w:r>
        <w:rPr>
          <w:rFonts w:ascii="Arial" w:hAnsi="Arial"/>
          <w:sz w:val="22"/>
          <w:szCs w:val="22"/>
        </w:rPr>
        <w:t>(2)</w:t>
      </w:r>
      <w:r>
        <w:rPr>
          <w:rFonts w:ascii="Arial" w:hAnsi="Arial"/>
          <w:sz w:val="22"/>
          <w:szCs w:val="22"/>
        </w:rPr>
        <w:tab/>
      </w:r>
      <w:r>
        <w:rPr>
          <w:rFonts w:ascii="Arial" w:hAnsi="Arial"/>
          <w:b/>
          <w:sz w:val="22"/>
          <w:szCs w:val="22"/>
        </w:rPr>
        <w:t>Pre</w:t>
      </w:r>
      <w:r w:rsidR="006535B4" w:rsidRPr="000751CC">
        <w:rPr>
          <w:rFonts w:ascii="Arial" w:hAnsi="Arial"/>
          <w:b/>
          <w:sz w:val="22"/>
          <w:szCs w:val="22"/>
        </w:rPr>
        <w:t xml:space="preserve"> Application Determination Letter</w:t>
      </w:r>
      <w:r w:rsidR="000751CC" w:rsidRPr="000751CC">
        <w:rPr>
          <w:rFonts w:ascii="Arial" w:hAnsi="Arial"/>
          <w:b/>
          <w:sz w:val="22"/>
          <w:szCs w:val="22"/>
        </w:rPr>
        <w:t xml:space="preserve"> – Minneapolis projects only</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jc w:val="both"/>
        <w:rPr>
          <w:rFonts w:ascii="Arial" w:hAnsi="Arial"/>
          <w:b/>
          <w:sz w:val="22"/>
          <w:szCs w:val="22"/>
        </w:rPr>
      </w:pPr>
    </w:p>
    <w:p w:rsidR="006535B4" w:rsidRPr="000751CC" w:rsidRDefault="00D8459B"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CE7EF3">
        <w:rPr>
          <w:rFonts w:ascii="Arial" w:hAnsi="Arial"/>
          <w:sz w:val="22"/>
          <w:szCs w:val="22"/>
          <w:u w:val="single"/>
        </w:rPr>
        <w:t>For projects located in Mi</w:t>
      </w:r>
      <w:r w:rsidR="00C729FB" w:rsidRPr="00CE7EF3">
        <w:rPr>
          <w:rFonts w:ascii="Arial" w:hAnsi="Arial"/>
          <w:sz w:val="22"/>
          <w:szCs w:val="22"/>
          <w:u w:val="single"/>
        </w:rPr>
        <w:t>nn</w:t>
      </w:r>
      <w:r w:rsidRPr="00CE7EF3">
        <w:rPr>
          <w:rFonts w:ascii="Arial" w:hAnsi="Arial"/>
          <w:sz w:val="22"/>
          <w:szCs w:val="22"/>
          <w:u w:val="single"/>
        </w:rPr>
        <w:t>eapolis</w:t>
      </w:r>
      <w:r w:rsidR="00D91C7E">
        <w:rPr>
          <w:rFonts w:ascii="Arial" w:hAnsi="Arial"/>
          <w:sz w:val="22"/>
          <w:szCs w:val="22"/>
          <w:u w:val="single"/>
        </w:rPr>
        <w:t>.</w:t>
      </w:r>
      <w:r>
        <w:rPr>
          <w:rFonts w:ascii="Arial" w:hAnsi="Arial"/>
          <w:sz w:val="22"/>
          <w:szCs w:val="22"/>
        </w:rPr>
        <w:t xml:space="preserve"> </w:t>
      </w:r>
      <w:r w:rsidR="00100350">
        <w:rPr>
          <w:rFonts w:ascii="Arial" w:hAnsi="Arial"/>
          <w:sz w:val="22"/>
          <w:szCs w:val="22"/>
        </w:rPr>
        <w:t xml:space="preserve"> An applicant for 4% </w:t>
      </w:r>
      <w:r w:rsidR="00D91C7E">
        <w:rPr>
          <w:rFonts w:ascii="Arial" w:hAnsi="Arial"/>
          <w:sz w:val="22"/>
          <w:szCs w:val="22"/>
        </w:rPr>
        <w:t xml:space="preserve">HTC </w:t>
      </w:r>
      <w:r w:rsidR="006535B4" w:rsidRPr="000751CC">
        <w:rPr>
          <w:rFonts w:ascii="Arial" w:hAnsi="Arial"/>
          <w:sz w:val="22"/>
          <w:szCs w:val="22"/>
        </w:rPr>
        <w:t>must demonstrate that the project is eligible for no less than 35 points</w:t>
      </w:r>
      <w:r>
        <w:rPr>
          <w:rFonts w:ascii="Arial" w:hAnsi="Arial"/>
          <w:sz w:val="22"/>
          <w:szCs w:val="22"/>
        </w:rPr>
        <w:t xml:space="preserve"> </w:t>
      </w:r>
      <w:r w:rsidR="00100350">
        <w:rPr>
          <w:rFonts w:ascii="Arial" w:hAnsi="Arial"/>
          <w:sz w:val="22"/>
          <w:szCs w:val="22"/>
        </w:rPr>
        <w:t xml:space="preserve">under the 4% </w:t>
      </w:r>
      <w:r w:rsidR="00C729FB">
        <w:rPr>
          <w:rFonts w:ascii="Arial" w:hAnsi="Arial"/>
          <w:sz w:val="22"/>
          <w:szCs w:val="22"/>
        </w:rPr>
        <w:t xml:space="preserve">HTC Selection Criteria of the </w:t>
      </w:r>
      <w:r w:rsidR="00100350">
        <w:rPr>
          <w:rFonts w:ascii="Arial" w:hAnsi="Arial"/>
          <w:sz w:val="22"/>
        </w:rPr>
        <w:t>QAP</w:t>
      </w:r>
      <w:r w:rsidR="006535B4" w:rsidRPr="000751CC">
        <w:rPr>
          <w:rFonts w:ascii="Arial" w:hAnsi="Arial"/>
          <w:sz w:val="22"/>
          <w:szCs w:val="22"/>
        </w:rPr>
        <w:t>.</w:t>
      </w:r>
      <w:r w:rsidR="00D91C7E">
        <w:rPr>
          <w:rFonts w:ascii="Arial" w:hAnsi="Arial"/>
          <w:sz w:val="22"/>
          <w:szCs w:val="22"/>
        </w:rPr>
        <w:t xml:space="preserve">  </w:t>
      </w:r>
      <w:r w:rsidR="006535B4" w:rsidRPr="000751CC">
        <w:rPr>
          <w:rFonts w:ascii="Arial" w:hAnsi="Arial"/>
          <w:sz w:val="22"/>
          <w:szCs w:val="22"/>
        </w:rPr>
        <w:t>Applicants may receive a predictive model and scoring determination prior to requesting preliminary determination via the pre-application process.</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8640"/>
        </w:tabs>
        <w:ind w:left="2160"/>
        <w:jc w:val="both"/>
        <w:rPr>
          <w:rFonts w:ascii="Arial" w:hAnsi="Arial"/>
          <w:sz w:val="22"/>
          <w:szCs w:val="22"/>
        </w:rPr>
      </w:pPr>
      <w:r w:rsidRPr="000751CC">
        <w:rPr>
          <w:rFonts w:ascii="Arial" w:hAnsi="Arial"/>
          <w:sz w:val="22"/>
          <w:szCs w:val="22"/>
        </w:rPr>
        <w:t xml:space="preserve">Pre-application is strongly encouraged in order to receive a determination prior to </w:t>
      </w:r>
      <w:r w:rsidR="00D8459B">
        <w:rPr>
          <w:rFonts w:ascii="Arial" w:hAnsi="Arial"/>
          <w:sz w:val="22"/>
          <w:szCs w:val="22"/>
        </w:rPr>
        <w:t>seeking an allocation of</w:t>
      </w:r>
      <w:r w:rsidR="00D91C7E">
        <w:rPr>
          <w:rFonts w:ascii="Arial" w:hAnsi="Arial"/>
          <w:sz w:val="22"/>
          <w:szCs w:val="22"/>
        </w:rPr>
        <w:t xml:space="preserve"> private activity</w:t>
      </w:r>
      <w:r w:rsidR="00D8459B">
        <w:rPr>
          <w:rFonts w:ascii="Arial" w:hAnsi="Arial"/>
          <w:sz w:val="22"/>
          <w:szCs w:val="22"/>
        </w:rPr>
        <w:t xml:space="preserve"> bond</w:t>
      </w:r>
      <w:r w:rsidRPr="000751CC">
        <w:rPr>
          <w:rFonts w:ascii="Arial" w:hAnsi="Arial"/>
          <w:sz w:val="22"/>
          <w:szCs w:val="22"/>
        </w:rPr>
        <w:t xml:space="preserve"> authority.</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b/>
          <w:sz w:val="22"/>
          <w:szCs w:val="22"/>
        </w:rPr>
      </w:pPr>
      <w:r w:rsidRPr="000751CC">
        <w:rPr>
          <w:rFonts w:ascii="Arial" w:hAnsi="Arial"/>
          <w:b/>
          <w:sz w:val="22"/>
          <w:szCs w:val="22"/>
        </w:rPr>
        <w:t>Process for Pre-Application</w:t>
      </w:r>
    </w:p>
    <w:p w:rsidR="00100350" w:rsidRPr="000751CC" w:rsidRDefault="00100350"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b/>
          <w:sz w:val="22"/>
          <w:szCs w:val="22"/>
        </w:rPr>
      </w:pP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0751CC">
        <w:rPr>
          <w:rFonts w:ascii="Arial" w:hAnsi="Arial"/>
          <w:sz w:val="22"/>
          <w:szCs w:val="22"/>
        </w:rPr>
        <w:t>In September of each year</w:t>
      </w:r>
      <w:r w:rsidRPr="000751CC">
        <w:rPr>
          <w:rFonts w:ascii="Arial" w:hAnsi="Arial"/>
          <w:b/>
          <w:sz w:val="22"/>
          <w:szCs w:val="22"/>
        </w:rPr>
        <w:t>,</w:t>
      </w:r>
      <w:r w:rsidRPr="000751CC">
        <w:rPr>
          <w:rFonts w:ascii="Arial" w:hAnsi="Arial"/>
          <w:sz w:val="22"/>
          <w:szCs w:val="22"/>
        </w:rPr>
        <w:t xml:space="preserve"> the City of Minneapolis will establish a maximum per unit cost that any project seeking an allocat</w:t>
      </w:r>
      <w:r w:rsidR="00600022">
        <w:rPr>
          <w:rFonts w:ascii="Arial" w:hAnsi="Arial"/>
          <w:sz w:val="22"/>
          <w:szCs w:val="22"/>
        </w:rPr>
        <w:t>ion of tax exempt bonds and</w:t>
      </w:r>
      <w:r w:rsidR="00D8459B">
        <w:rPr>
          <w:rFonts w:ascii="Arial" w:hAnsi="Arial"/>
          <w:sz w:val="22"/>
          <w:szCs w:val="22"/>
        </w:rPr>
        <w:t xml:space="preserve"> 4% </w:t>
      </w:r>
      <w:r w:rsidR="00BD7596">
        <w:rPr>
          <w:rFonts w:ascii="Arial" w:hAnsi="Arial"/>
          <w:sz w:val="22"/>
          <w:szCs w:val="22"/>
        </w:rPr>
        <w:t>HTC</w:t>
      </w:r>
      <w:r w:rsidRPr="000751CC">
        <w:rPr>
          <w:rFonts w:ascii="Arial" w:hAnsi="Arial"/>
          <w:sz w:val="22"/>
          <w:szCs w:val="22"/>
        </w:rPr>
        <w:t xml:space="preserve"> during that year must </w:t>
      </w:r>
      <w:r w:rsidR="00D91C7E">
        <w:rPr>
          <w:rFonts w:ascii="Arial" w:hAnsi="Arial"/>
          <w:sz w:val="22"/>
          <w:szCs w:val="22"/>
        </w:rPr>
        <w:t xml:space="preserve">not exceed in order </w:t>
      </w:r>
      <w:r w:rsidRPr="000751CC">
        <w:rPr>
          <w:rFonts w:ascii="Arial" w:hAnsi="Arial"/>
          <w:sz w:val="22"/>
          <w:szCs w:val="22"/>
        </w:rPr>
        <w:t>to receive cost containment points.</w:t>
      </w:r>
    </w:p>
    <w:p w:rsidR="006E73E0" w:rsidRPr="000751CC" w:rsidRDefault="006E73E0"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b/>
          <w:sz w:val="22"/>
          <w:szCs w:val="22"/>
        </w:rPr>
      </w:pPr>
    </w:p>
    <w:p w:rsidR="006535B4" w:rsidRPr="000751CC" w:rsidRDefault="00ED11D0"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0751CC">
        <w:rPr>
          <w:rFonts w:ascii="Arial" w:hAnsi="Arial"/>
          <w:sz w:val="22"/>
          <w:szCs w:val="22"/>
        </w:rPr>
        <w:t xml:space="preserve">Following </w:t>
      </w:r>
      <w:r w:rsidR="00D91C7E">
        <w:rPr>
          <w:rFonts w:ascii="Arial" w:hAnsi="Arial"/>
          <w:sz w:val="22"/>
          <w:szCs w:val="22"/>
        </w:rPr>
        <w:t xml:space="preserve">the establishment of such maximum per unit costs and </w:t>
      </w:r>
      <w:r w:rsidR="006E73E0" w:rsidRPr="000751CC">
        <w:rPr>
          <w:rFonts w:ascii="Arial" w:hAnsi="Arial"/>
          <w:sz w:val="22"/>
          <w:szCs w:val="22"/>
        </w:rPr>
        <w:t xml:space="preserve">until </w:t>
      </w:r>
      <w:r w:rsidR="006E73E0" w:rsidRPr="000751CC">
        <w:rPr>
          <w:rFonts w:ascii="Arial" w:hAnsi="Arial"/>
          <w:sz w:val="22"/>
          <w:szCs w:val="22"/>
        </w:rPr>
        <w:lastRenderedPageBreak/>
        <w:t>November</w:t>
      </w:r>
      <w:r w:rsidR="002648F4">
        <w:rPr>
          <w:rFonts w:ascii="Arial" w:hAnsi="Arial"/>
          <w:sz w:val="22"/>
          <w:szCs w:val="22"/>
        </w:rPr>
        <w:t> </w:t>
      </w:r>
      <w:r w:rsidR="00C37EBF">
        <w:rPr>
          <w:rFonts w:ascii="Arial" w:hAnsi="Arial"/>
          <w:sz w:val="22"/>
          <w:szCs w:val="22"/>
        </w:rPr>
        <w:t>1</w:t>
      </w:r>
      <w:r w:rsidR="00100350">
        <w:rPr>
          <w:rFonts w:ascii="Arial" w:hAnsi="Arial"/>
          <w:sz w:val="22"/>
          <w:szCs w:val="22"/>
        </w:rPr>
        <w:t xml:space="preserve">, </w:t>
      </w:r>
      <w:r w:rsidR="00C37EBF">
        <w:rPr>
          <w:rFonts w:ascii="Arial" w:hAnsi="Arial"/>
          <w:sz w:val="22"/>
          <w:szCs w:val="22"/>
        </w:rPr>
        <w:t xml:space="preserve">an applicant </w:t>
      </w:r>
      <w:r w:rsidR="006535B4" w:rsidRPr="000751CC">
        <w:rPr>
          <w:rFonts w:ascii="Arial" w:hAnsi="Arial"/>
          <w:sz w:val="22"/>
          <w:szCs w:val="22"/>
        </w:rPr>
        <w:t>m</w:t>
      </w:r>
      <w:r w:rsidR="006E73E0" w:rsidRPr="000751CC">
        <w:rPr>
          <w:rFonts w:ascii="Arial" w:hAnsi="Arial"/>
          <w:sz w:val="22"/>
          <w:szCs w:val="22"/>
        </w:rPr>
        <w:t>ay submit</w:t>
      </w:r>
      <w:r w:rsidR="006535B4" w:rsidRPr="000751CC">
        <w:rPr>
          <w:rFonts w:ascii="Arial" w:hAnsi="Arial"/>
          <w:sz w:val="22"/>
          <w:szCs w:val="22"/>
        </w:rPr>
        <w:t xml:space="preserve"> a pre-application letter of Intent to </w:t>
      </w:r>
      <w:r w:rsidR="00100350">
        <w:rPr>
          <w:rFonts w:ascii="Arial" w:hAnsi="Arial"/>
          <w:sz w:val="22"/>
          <w:szCs w:val="22"/>
        </w:rPr>
        <w:t>a</w:t>
      </w:r>
      <w:r w:rsidR="006535B4" w:rsidRPr="000751CC">
        <w:rPr>
          <w:rFonts w:ascii="Arial" w:hAnsi="Arial"/>
          <w:sz w:val="22"/>
          <w:szCs w:val="22"/>
        </w:rPr>
        <w:t xml:space="preserve">pply, which </w:t>
      </w:r>
      <w:r w:rsidR="00C37EBF">
        <w:rPr>
          <w:rFonts w:ascii="Arial" w:hAnsi="Arial"/>
          <w:sz w:val="22"/>
          <w:szCs w:val="22"/>
        </w:rPr>
        <w:t xml:space="preserve">shall </w:t>
      </w:r>
      <w:r w:rsidR="006535B4" w:rsidRPr="000751CC">
        <w:rPr>
          <w:rFonts w:ascii="Arial" w:hAnsi="Arial"/>
          <w:sz w:val="22"/>
          <w:szCs w:val="22"/>
        </w:rPr>
        <w:t>include the standard Workbook, a written description of the project, and completed scoring worksheet. There is no fee required</w:t>
      </w:r>
      <w:r w:rsidR="00C37EBF">
        <w:rPr>
          <w:rFonts w:ascii="Arial" w:hAnsi="Arial"/>
          <w:sz w:val="22"/>
          <w:szCs w:val="22"/>
        </w:rPr>
        <w:t xml:space="preserve"> in connection with the pre-application process</w:t>
      </w:r>
      <w:r w:rsidR="006535B4" w:rsidRPr="000751CC">
        <w:rPr>
          <w:rFonts w:ascii="Arial" w:hAnsi="Arial"/>
          <w:sz w:val="22"/>
          <w:szCs w:val="22"/>
        </w:rPr>
        <w:t>. This information will assist</w:t>
      </w:r>
      <w:r w:rsidR="006E73E0" w:rsidRPr="000751CC">
        <w:rPr>
          <w:rFonts w:ascii="Arial" w:hAnsi="Arial"/>
          <w:sz w:val="22"/>
          <w:szCs w:val="22"/>
        </w:rPr>
        <w:t xml:space="preserve"> CPED</w:t>
      </w:r>
      <w:r w:rsidR="00D8459B">
        <w:rPr>
          <w:rFonts w:ascii="Arial" w:hAnsi="Arial"/>
          <w:sz w:val="22"/>
          <w:szCs w:val="22"/>
        </w:rPr>
        <w:t>’s</w:t>
      </w:r>
      <w:r w:rsidR="006E73E0" w:rsidRPr="000751CC">
        <w:rPr>
          <w:rFonts w:ascii="Arial" w:hAnsi="Arial"/>
          <w:sz w:val="22"/>
          <w:szCs w:val="22"/>
        </w:rPr>
        <w:t xml:space="preserve"> staff</w:t>
      </w:r>
      <w:r w:rsidR="006535B4" w:rsidRPr="000751CC">
        <w:rPr>
          <w:rFonts w:ascii="Arial" w:hAnsi="Arial"/>
          <w:sz w:val="22"/>
          <w:szCs w:val="22"/>
        </w:rPr>
        <w:t xml:space="preserve"> in determining whether the project meets the</w:t>
      </w:r>
      <w:r w:rsidR="00100350">
        <w:rPr>
          <w:rFonts w:ascii="Arial" w:hAnsi="Arial"/>
          <w:sz w:val="22"/>
          <w:szCs w:val="22"/>
        </w:rPr>
        <w:t xml:space="preserve"> minimum 35 point requirement</w:t>
      </w:r>
      <w:r w:rsidR="00D8459B">
        <w:rPr>
          <w:rFonts w:ascii="Arial" w:hAnsi="Arial"/>
          <w:sz w:val="22"/>
          <w:szCs w:val="22"/>
        </w:rPr>
        <w:t xml:space="preserve"> under the </w:t>
      </w:r>
      <w:r w:rsidR="00100350">
        <w:rPr>
          <w:rFonts w:ascii="Arial" w:hAnsi="Arial"/>
          <w:sz w:val="22"/>
        </w:rPr>
        <w:t>QAP</w:t>
      </w:r>
      <w:r w:rsidR="006535B4" w:rsidRPr="000751CC">
        <w:rPr>
          <w:rFonts w:ascii="Arial" w:hAnsi="Arial"/>
          <w:sz w:val="22"/>
          <w:szCs w:val="22"/>
        </w:rPr>
        <w:t xml:space="preserve">. </w:t>
      </w:r>
      <w:r w:rsidR="00C37EBF">
        <w:rPr>
          <w:rFonts w:ascii="Arial" w:hAnsi="Arial"/>
          <w:sz w:val="22"/>
          <w:szCs w:val="22"/>
        </w:rPr>
        <w:t xml:space="preserve"> </w:t>
      </w:r>
      <w:r w:rsidR="006535B4" w:rsidRPr="000751CC">
        <w:rPr>
          <w:rFonts w:ascii="Arial" w:hAnsi="Arial"/>
          <w:sz w:val="22"/>
          <w:szCs w:val="22"/>
        </w:rPr>
        <w:t xml:space="preserve">CPED will respond no later than six </w:t>
      </w:r>
      <w:r w:rsidR="00100350">
        <w:rPr>
          <w:rFonts w:ascii="Arial" w:hAnsi="Arial"/>
          <w:sz w:val="22"/>
          <w:szCs w:val="22"/>
        </w:rPr>
        <w:t xml:space="preserve">(6) </w:t>
      </w:r>
      <w:r w:rsidR="006535B4" w:rsidRPr="000751CC">
        <w:rPr>
          <w:rFonts w:ascii="Arial" w:hAnsi="Arial"/>
          <w:sz w:val="22"/>
          <w:szCs w:val="22"/>
        </w:rPr>
        <w:t xml:space="preserve">weeks from </w:t>
      </w:r>
      <w:r w:rsidR="00EC3ED0">
        <w:rPr>
          <w:rFonts w:ascii="Arial" w:hAnsi="Arial"/>
          <w:sz w:val="22"/>
          <w:szCs w:val="22"/>
        </w:rPr>
        <w:t xml:space="preserve">the </w:t>
      </w:r>
      <w:r w:rsidR="006535B4" w:rsidRPr="000751CC">
        <w:rPr>
          <w:rFonts w:ascii="Arial" w:hAnsi="Arial"/>
          <w:sz w:val="22"/>
          <w:szCs w:val="22"/>
        </w:rPr>
        <w:t xml:space="preserve">receipt of the </w:t>
      </w:r>
      <w:r w:rsidR="002648F4">
        <w:rPr>
          <w:rFonts w:ascii="Arial" w:hAnsi="Arial"/>
          <w:sz w:val="22"/>
          <w:szCs w:val="22"/>
        </w:rPr>
        <w:t>p</w:t>
      </w:r>
      <w:r w:rsidR="006E73E0" w:rsidRPr="000751CC">
        <w:rPr>
          <w:rFonts w:ascii="Arial" w:hAnsi="Arial"/>
          <w:sz w:val="22"/>
          <w:szCs w:val="22"/>
        </w:rPr>
        <w:t>re-application</w:t>
      </w:r>
      <w:r w:rsidR="006535B4" w:rsidRPr="000751CC">
        <w:rPr>
          <w:rFonts w:ascii="Arial" w:hAnsi="Arial"/>
          <w:sz w:val="22"/>
          <w:szCs w:val="22"/>
        </w:rPr>
        <w:t>.</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C729FB" w:rsidRDefault="00C37EBF"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Pr>
          <w:rFonts w:ascii="Arial" w:hAnsi="Arial"/>
          <w:sz w:val="22"/>
          <w:szCs w:val="22"/>
        </w:rPr>
        <w:t>Starting i</w:t>
      </w:r>
      <w:r w:rsidR="006535B4" w:rsidRPr="000751CC">
        <w:rPr>
          <w:rFonts w:ascii="Arial" w:hAnsi="Arial"/>
          <w:sz w:val="22"/>
          <w:szCs w:val="22"/>
        </w:rPr>
        <w:t xml:space="preserve">n January of each year, </w:t>
      </w:r>
      <w:r w:rsidR="006E73E0" w:rsidRPr="000751CC">
        <w:rPr>
          <w:rFonts w:ascii="Arial" w:hAnsi="Arial"/>
          <w:sz w:val="22"/>
          <w:szCs w:val="22"/>
        </w:rPr>
        <w:t xml:space="preserve">the City </w:t>
      </w:r>
      <w:r w:rsidR="00C729FB">
        <w:rPr>
          <w:rFonts w:ascii="Arial" w:hAnsi="Arial"/>
          <w:sz w:val="22"/>
          <w:szCs w:val="22"/>
        </w:rPr>
        <w:t xml:space="preserve">of </w:t>
      </w:r>
      <w:r w:rsidR="000D6D92">
        <w:rPr>
          <w:rFonts w:ascii="Arial" w:hAnsi="Arial"/>
          <w:sz w:val="22"/>
          <w:szCs w:val="22"/>
        </w:rPr>
        <w:t>Minneapolis</w:t>
      </w:r>
      <w:r w:rsidR="00C729FB">
        <w:rPr>
          <w:rFonts w:ascii="Arial" w:hAnsi="Arial"/>
          <w:sz w:val="22"/>
          <w:szCs w:val="22"/>
        </w:rPr>
        <w:t xml:space="preserve"> </w:t>
      </w:r>
      <w:r w:rsidR="006E73E0" w:rsidRPr="000751CC">
        <w:rPr>
          <w:rFonts w:ascii="Arial" w:hAnsi="Arial"/>
          <w:sz w:val="22"/>
          <w:szCs w:val="22"/>
        </w:rPr>
        <w:t xml:space="preserve">will accept </w:t>
      </w:r>
      <w:r w:rsidR="00147B2E">
        <w:rPr>
          <w:rFonts w:ascii="Arial" w:hAnsi="Arial"/>
          <w:sz w:val="22"/>
        </w:rPr>
        <w:t>HTC</w:t>
      </w:r>
      <w:r w:rsidR="006E73E0" w:rsidRPr="000751CC">
        <w:rPr>
          <w:rFonts w:ascii="Arial" w:hAnsi="Arial"/>
          <w:sz w:val="22"/>
          <w:szCs w:val="22"/>
        </w:rPr>
        <w:t xml:space="preserve"> appl</w:t>
      </w:r>
      <w:r w:rsidR="00600022">
        <w:rPr>
          <w:rFonts w:ascii="Arial" w:hAnsi="Arial"/>
          <w:sz w:val="22"/>
          <w:szCs w:val="22"/>
        </w:rPr>
        <w:t>ications for projects seeking</w:t>
      </w:r>
      <w:r>
        <w:rPr>
          <w:rFonts w:ascii="Arial" w:hAnsi="Arial"/>
          <w:sz w:val="22"/>
          <w:szCs w:val="22"/>
        </w:rPr>
        <w:t xml:space="preserve"> an allocation of private activity bond cap.  </w:t>
      </w:r>
      <w:r w:rsidR="0068782A">
        <w:rPr>
          <w:rFonts w:ascii="Arial" w:hAnsi="Arial"/>
          <w:sz w:val="22"/>
          <w:szCs w:val="22"/>
        </w:rPr>
        <w:t xml:space="preserve">See Article </w:t>
      </w:r>
      <w:r w:rsidR="00F334ED">
        <w:rPr>
          <w:rFonts w:ascii="Arial" w:hAnsi="Arial"/>
          <w:sz w:val="22"/>
          <w:szCs w:val="22"/>
        </w:rPr>
        <w:t>VIII o</w:t>
      </w:r>
      <w:r w:rsidR="0068782A">
        <w:rPr>
          <w:rFonts w:ascii="Arial" w:hAnsi="Arial"/>
          <w:sz w:val="22"/>
          <w:szCs w:val="22"/>
        </w:rPr>
        <w:t xml:space="preserve">f this Procedural Manual for specific HTC application and fee requirements. </w:t>
      </w:r>
      <w:r w:rsidR="00846F56">
        <w:rPr>
          <w:rFonts w:ascii="Arial" w:hAnsi="Arial"/>
          <w:sz w:val="22"/>
          <w:szCs w:val="22"/>
        </w:rPr>
        <w:t xml:space="preserve"> </w:t>
      </w:r>
      <w:r w:rsidR="0068782A">
        <w:rPr>
          <w:rFonts w:ascii="Arial" w:hAnsi="Arial"/>
          <w:sz w:val="22"/>
          <w:szCs w:val="22"/>
        </w:rPr>
        <w:t>4% HTC Applications and related fees must be prepared and su</w:t>
      </w:r>
      <w:r w:rsidR="002648F4">
        <w:rPr>
          <w:rFonts w:ascii="Arial" w:hAnsi="Arial"/>
          <w:sz w:val="22"/>
          <w:szCs w:val="22"/>
        </w:rPr>
        <w:t>b</w:t>
      </w:r>
      <w:r w:rsidR="0068782A">
        <w:rPr>
          <w:rFonts w:ascii="Arial" w:hAnsi="Arial"/>
          <w:sz w:val="22"/>
          <w:szCs w:val="22"/>
        </w:rPr>
        <w:t>mitted separately in accordance with the City of Minneapolis Conduit Bonds Policy and Housing Rev</w:t>
      </w:r>
      <w:r w:rsidR="002648F4">
        <w:rPr>
          <w:rFonts w:ascii="Arial" w:hAnsi="Arial"/>
          <w:sz w:val="22"/>
          <w:szCs w:val="22"/>
        </w:rPr>
        <w:t>e</w:t>
      </w:r>
      <w:r w:rsidR="0068782A">
        <w:rPr>
          <w:rFonts w:ascii="Arial" w:hAnsi="Arial"/>
          <w:sz w:val="22"/>
          <w:szCs w:val="22"/>
        </w:rPr>
        <w:t>nue Bonds Procedural Guide.</w:t>
      </w:r>
    </w:p>
    <w:p w:rsidR="00100350" w:rsidRPr="000751CC" w:rsidRDefault="00100350"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Pr="000751CC" w:rsidRDefault="006E73E0"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0751CC">
        <w:rPr>
          <w:rFonts w:ascii="Arial" w:hAnsi="Arial"/>
          <w:sz w:val="22"/>
          <w:szCs w:val="22"/>
        </w:rPr>
        <w:t>Projects that do not score a minimum of 35 points under the 4% Tax Cred</w:t>
      </w:r>
      <w:r w:rsidR="00C729FB">
        <w:rPr>
          <w:rFonts w:ascii="Arial" w:hAnsi="Arial"/>
          <w:sz w:val="22"/>
          <w:szCs w:val="22"/>
        </w:rPr>
        <w:t xml:space="preserve">it Selection Criteria of the </w:t>
      </w:r>
      <w:r w:rsidR="009D2452">
        <w:rPr>
          <w:rFonts w:ascii="Arial" w:hAnsi="Arial"/>
          <w:sz w:val="22"/>
        </w:rPr>
        <w:t>QAP</w:t>
      </w:r>
      <w:r w:rsidR="00C729FB">
        <w:rPr>
          <w:rFonts w:ascii="Arial" w:hAnsi="Arial"/>
          <w:sz w:val="22"/>
          <w:szCs w:val="22"/>
        </w:rPr>
        <w:t xml:space="preserve"> are</w:t>
      </w:r>
      <w:r w:rsidR="00DF5521">
        <w:rPr>
          <w:rFonts w:ascii="Arial" w:hAnsi="Arial"/>
          <w:sz w:val="22"/>
          <w:szCs w:val="22"/>
        </w:rPr>
        <w:t xml:space="preserve"> not </w:t>
      </w:r>
      <w:r w:rsidRPr="000751CC">
        <w:rPr>
          <w:rFonts w:ascii="Arial" w:hAnsi="Arial"/>
          <w:sz w:val="22"/>
          <w:szCs w:val="22"/>
        </w:rPr>
        <w:t xml:space="preserve">eligible for </w:t>
      </w:r>
      <w:r w:rsidR="00C729FB">
        <w:rPr>
          <w:rFonts w:ascii="Arial" w:hAnsi="Arial"/>
          <w:sz w:val="22"/>
          <w:szCs w:val="22"/>
        </w:rPr>
        <w:t xml:space="preserve">a </w:t>
      </w:r>
      <w:r w:rsidR="00C37EBF">
        <w:rPr>
          <w:rFonts w:ascii="Arial" w:hAnsi="Arial"/>
          <w:sz w:val="22"/>
          <w:szCs w:val="22"/>
        </w:rPr>
        <w:t xml:space="preserve">private activity </w:t>
      </w:r>
      <w:r w:rsidRPr="000751CC">
        <w:rPr>
          <w:rFonts w:ascii="Arial" w:hAnsi="Arial"/>
          <w:sz w:val="22"/>
          <w:szCs w:val="22"/>
        </w:rPr>
        <w:t xml:space="preserve">bond allocation award.  </w:t>
      </w:r>
      <w:r w:rsidR="006535B4" w:rsidRPr="000751CC">
        <w:rPr>
          <w:rFonts w:ascii="Arial" w:hAnsi="Arial"/>
          <w:sz w:val="22"/>
          <w:szCs w:val="22"/>
        </w:rPr>
        <w:t xml:space="preserve">If the </w:t>
      </w:r>
      <w:r w:rsidR="00C37EBF">
        <w:rPr>
          <w:rFonts w:ascii="Arial" w:hAnsi="Arial"/>
          <w:sz w:val="22"/>
          <w:szCs w:val="22"/>
        </w:rPr>
        <w:t xml:space="preserve">private activity </w:t>
      </w:r>
      <w:r w:rsidR="006535B4" w:rsidRPr="000751CC">
        <w:rPr>
          <w:rFonts w:ascii="Arial" w:hAnsi="Arial"/>
          <w:sz w:val="22"/>
          <w:szCs w:val="22"/>
        </w:rPr>
        <w:t xml:space="preserve">bond allocation </w:t>
      </w:r>
      <w:r w:rsidR="00C37EBF">
        <w:rPr>
          <w:rFonts w:ascii="Arial" w:hAnsi="Arial"/>
          <w:sz w:val="22"/>
          <w:szCs w:val="22"/>
        </w:rPr>
        <w:t xml:space="preserve">for Minneapolis </w:t>
      </w:r>
      <w:r w:rsidR="006535B4" w:rsidRPr="000751CC">
        <w:rPr>
          <w:rFonts w:ascii="Arial" w:hAnsi="Arial"/>
          <w:sz w:val="22"/>
          <w:szCs w:val="22"/>
        </w:rPr>
        <w:t>is over-subscribed, the City of Minneapolis, at its discretion, will prioritize projects based upon total project points</w:t>
      </w:r>
      <w:r w:rsidR="00C37EBF">
        <w:rPr>
          <w:rFonts w:ascii="Arial" w:hAnsi="Arial"/>
          <w:sz w:val="22"/>
          <w:szCs w:val="22"/>
        </w:rPr>
        <w:t xml:space="preserve"> received pursuant to the </w:t>
      </w:r>
      <w:r w:rsidR="009D2452">
        <w:rPr>
          <w:rFonts w:ascii="Arial" w:hAnsi="Arial"/>
          <w:sz w:val="22"/>
        </w:rPr>
        <w:t>QAP</w:t>
      </w:r>
      <w:r w:rsidR="006535B4" w:rsidRPr="000751CC">
        <w:rPr>
          <w:rFonts w:ascii="Arial" w:hAnsi="Arial"/>
          <w:sz w:val="22"/>
          <w:szCs w:val="22"/>
        </w:rPr>
        <w:t xml:space="preserve">, whether the project is on City owned land, </w:t>
      </w:r>
      <w:r w:rsidR="00C37EBF">
        <w:rPr>
          <w:rFonts w:ascii="Arial" w:hAnsi="Arial"/>
          <w:sz w:val="22"/>
          <w:szCs w:val="22"/>
        </w:rPr>
        <w:t xml:space="preserve">the </w:t>
      </w:r>
      <w:r w:rsidR="006535B4" w:rsidRPr="000751CC">
        <w:rPr>
          <w:rFonts w:ascii="Arial" w:hAnsi="Arial"/>
          <w:sz w:val="22"/>
          <w:szCs w:val="22"/>
        </w:rPr>
        <w:t xml:space="preserve">readiness of the project to proceed, </w:t>
      </w:r>
      <w:r w:rsidR="00F12C86">
        <w:rPr>
          <w:rFonts w:ascii="Arial" w:hAnsi="Arial"/>
          <w:sz w:val="22"/>
          <w:szCs w:val="22"/>
        </w:rPr>
        <w:t xml:space="preserve">the </w:t>
      </w:r>
      <w:r w:rsidR="006535B4" w:rsidRPr="000751CC">
        <w:rPr>
          <w:rFonts w:ascii="Arial" w:hAnsi="Arial"/>
          <w:sz w:val="22"/>
          <w:szCs w:val="22"/>
        </w:rPr>
        <w:t xml:space="preserve">amount and term of the </w:t>
      </w:r>
      <w:r w:rsidR="00F12C86">
        <w:rPr>
          <w:rFonts w:ascii="Arial" w:hAnsi="Arial"/>
          <w:sz w:val="22"/>
          <w:szCs w:val="22"/>
        </w:rPr>
        <w:t xml:space="preserve">private activity </w:t>
      </w:r>
      <w:r w:rsidR="006535B4" w:rsidRPr="000751CC">
        <w:rPr>
          <w:rFonts w:ascii="Arial" w:hAnsi="Arial"/>
          <w:sz w:val="22"/>
          <w:szCs w:val="22"/>
        </w:rPr>
        <w:t>bond allocation requested</w:t>
      </w:r>
      <w:r w:rsidR="00893F9A" w:rsidRPr="000751CC">
        <w:rPr>
          <w:rFonts w:ascii="Arial" w:hAnsi="Arial"/>
          <w:sz w:val="22"/>
          <w:szCs w:val="22"/>
        </w:rPr>
        <w:t xml:space="preserve">, and </w:t>
      </w:r>
      <w:r w:rsidR="00F12C86">
        <w:rPr>
          <w:rFonts w:ascii="Arial" w:hAnsi="Arial"/>
          <w:sz w:val="22"/>
          <w:szCs w:val="22"/>
        </w:rPr>
        <w:t xml:space="preserve">the </w:t>
      </w:r>
      <w:r w:rsidR="00893F9A" w:rsidRPr="000751CC">
        <w:rPr>
          <w:rFonts w:ascii="Arial" w:hAnsi="Arial"/>
          <w:sz w:val="22"/>
          <w:szCs w:val="22"/>
        </w:rPr>
        <w:t>overall feasibility of the project</w:t>
      </w:r>
      <w:r w:rsidR="006535B4" w:rsidRPr="000751CC">
        <w:rPr>
          <w:rFonts w:ascii="Arial" w:hAnsi="Arial"/>
          <w:sz w:val="22"/>
          <w:szCs w:val="22"/>
        </w:rPr>
        <w:t>.</w:t>
      </w:r>
    </w:p>
    <w:p w:rsidR="006535B4" w:rsidRPr="000751CC" w:rsidRDefault="006535B4" w:rsidP="006535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6535B4" w:rsidRDefault="006535B4" w:rsidP="00F12C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r w:rsidRPr="000751CC">
        <w:rPr>
          <w:rFonts w:ascii="Arial" w:hAnsi="Arial"/>
          <w:sz w:val="22"/>
          <w:szCs w:val="22"/>
        </w:rPr>
        <w:t xml:space="preserve">Upon approval of the project by the </w:t>
      </w:r>
      <w:r w:rsidRPr="009D2452">
        <w:rPr>
          <w:rFonts w:ascii="Arial" w:hAnsi="Arial"/>
          <w:sz w:val="22"/>
          <w:szCs w:val="22"/>
        </w:rPr>
        <w:t>City Council</w:t>
      </w:r>
      <w:r w:rsidRPr="00147B2E">
        <w:rPr>
          <w:rFonts w:ascii="Arial" w:hAnsi="Arial"/>
          <w:b/>
          <w:sz w:val="22"/>
          <w:szCs w:val="22"/>
        </w:rPr>
        <w:t>,</w:t>
      </w:r>
      <w:r w:rsidRPr="000751CC">
        <w:rPr>
          <w:rFonts w:ascii="Arial" w:hAnsi="Arial"/>
          <w:sz w:val="22"/>
          <w:szCs w:val="22"/>
        </w:rPr>
        <w:t xml:space="preserve"> the developer/owner</w:t>
      </w:r>
      <w:r w:rsidR="00846F56">
        <w:rPr>
          <w:rFonts w:ascii="Arial" w:hAnsi="Arial"/>
          <w:sz w:val="22"/>
          <w:szCs w:val="22"/>
        </w:rPr>
        <w:t xml:space="preserve"> </w:t>
      </w:r>
      <w:r w:rsidRPr="000751CC">
        <w:rPr>
          <w:rFonts w:ascii="Arial" w:hAnsi="Arial"/>
          <w:sz w:val="22"/>
          <w:szCs w:val="22"/>
        </w:rPr>
        <w:t>will be required to clos</w:t>
      </w:r>
      <w:r w:rsidR="00DF5521">
        <w:rPr>
          <w:rFonts w:ascii="Arial" w:hAnsi="Arial"/>
          <w:sz w:val="22"/>
          <w:szCs w:val="22"/>
        </w:rPr>
        <w:t xml:space="preserve">e on </w:t>
      </w:r>
      <w:r w:rsidRPr="000751CC">
        <w:rPr>
          <w:rFonts w:ascii="Arial" w:hAnsi="Arial"/>
          <w:sz w:val="22"/>
          <w:szCs w:val="22"/>
        </w:rPr>
        <w:t xml:space="preserve">the project </w:t>
      </w:r>
      <w:r w:rsidR="00846F56">
        <w:rPr>
          <w:rFonts w:ascii="Arial" w:hAnsi="Arial"/>
          <w:sz w:val="22"/>
          <w:szCs w:val="22"/>
        </w:rPr>
        <w:t xml:space="preserve">by </w:t>
      </w:r>
      <w:r w:rsidRPr="000751CC">
        <w:rPr>
          <w:rFonts w:ascii="Arial" w:hAnsi="Arial"/>
          <w:sz w:val="22"/>
          <w:szCs w:val="22"/>
        </w:rPr>
        <w:t xml:space="preserve">no later than 180 days from the date of approval of preliminary </w:t>
      </w:r>
      <w:r w:rsidR="00DF5521">
        <w:rPr>
          <w:rFonts w:ascii="Arial" w:hAnsi="Arial"/>
          <w:sz w:val="22"/>
          <w:szCs w:val="22"/>
        </w:rPr>
        <w:t xml:space="preserve">City </w:t>
      </w:r>
      <w:r w:rsidRPr="000751CC">
        <w:rPr>
          <w:rFonts w:ascii="Arial" w:hAnsi="Arial"/>
          <w:sz w:val="22"/>
          <w:szCs w:val="22"/>
        </w:rPr>
        <w:t xml:space="preserve">Council action. </w:t>
      </w:r>
      <w:r w:rsidR="00846F56">
        <w:rPr>
          <w:rFonts w:ascii="Arial" w:hAnsi="Arial"/>
          <w:sz w:val="22"/>
          <w:szCs w:val="22"/>
        </w:rPr>
        <w:t xml:space="preserve"> I</w:t>
      </w:r>
      <w:r w:rsidRPr="000751CC">
        <w:rPr>
          <w:rFonts w:ascii="Arial" w:hAnsi="Arial"/>
          <w:sz w:val="22"/>
          <w:szCs w:val="22"/>
        </w:rPr>
        <w:t>f the project does not close within the time allotted</w:t>
      </w:r>
      <w:r w:rsidR="00F12C86">
        <w:rPr>
          <w:rFonts w:ascii="Arial" w:hAnsi="Arial"/>
          <w:sz w:val="22"/>
          <w:szCs w:val="22"/>
        </w:rPr>
        <w:t>,</w:t>
      </w:r>
      <w:r w:rsidRPr="000751CC">
        <w:rPr>
          <w:rFonts w:ascii="Arial" w:hAnsi="Arial"/>
          <w:sz w:val="22"/>
          <w:szCs w:val="22"/>
        </w:rPr>
        <w:t xml:space="preserve"> the </w:t>
      </w:r>
      <w:r w:rsidRPr="009D2452">
        <w:rPr>
          <w:rFonts w:ascii="Arial" w:hAnsi="Arial"/>
          <w:sz w:val="22"/>
          <w:szCs w:val="22"/>
        </w:rPr>
        <w:t xml:space="preserve">City </w:t>
      </w:r>
      <w:r w:rsidR="00C729FB" w:rsidRPr="009D2452">
        <w:rPr>
          <w:rFonts w:ascii="Arial" w:hAnsi="Arial"/>
          <w:sz w:val="22"/>
          <w:szCs w:val="22"/>
        </w:rPr>
        <w:t>of Minneapolis</w:t>
      </w:r>
      <w:r w:rsidR="00C729FB">
        <w:rPr>
          <w:rFonts w:ascii="Arial" w:hAnsi="Arial"/>
          <w:sz w:val="22"/>
          <w:szCs w:val="22"/>
        </w:rPr>
        <w:t xml:space="preserve"> </w:t>
      </w:r>
      <w:r w:rsidR="00F12C86">
        <w:rPr>
          <w:rFonts w:ascii="Arial" w:hAnsi="Arial"/>
          <w:sz w:val="22"/>
          <w:szCs w:val="22"/>
        </w:rPr>
        <w:t>will in</w:t>
      </w:r>
      <w:r w:rsidRPr="000751CC">
        <w:rPr>
          <w:rFonts w:ascii="Arial" w:hAnsi="Arial"/>
          <w:sz w:val="22"/>
          <w:szCs w:val="22"/>
        </w:rPr>
        <w:t xml:space="preserve"> its sole discretion make a determination whether </w:t>
      </w:r>
      <w:r w:rsidR="00DF5521">
        <w:rPr>
          <w:rFonts w:ascii="Arial" w:hAnsi="Arial"/>
          <w:sz w:val="22"/>
          <w:szCs w:val="22"/>
        </w:rPr>
        <w:t xml:space="preserve">or not </w:t>
      </w:r>
      <w:r w:rsidRPr="000751CC">
        <w:rPr>
          <w:rFonts w:ascii="Arial" w:hAnsi="Arial"/>
          <w:sz w:val="22"/>
          <w:szCs w:val="22"/>
        </w:rPr>
        <w:t xml:space="preserve">to grant a one-time extension </w:t>
      </w:r>
      <w:r w:rsidR="00DF5521">
        <w:rPr>
          <w:rFonts w:ascii="Arial" w:hAnsi="Arial"/>
          <w:sz w:val="22"/>
          <w:szCs w:val="22"/>
        </w:rPr>
        <w:t xml:space="preserve">of </w:t>
      </w:r>
      <w:r w:rsidRPr="000751CC">
        <w:rPr>
          <w:rFonts w:ascii="Arial" w:hAnsi="Arial"/>
          <w:sz w:val="22"/>
          <w:szCs w:val="22"/>
        </w:rPr>
        <w:t xml:space="preserve">up to 180 days or </w:t>
      </w:r>
      <w:r w:rsidR="00F12C86">
        <w:rPr>
          <w:rFonts w:ascii="Arial" w:hAnsi="Arial"/>
          <w:sz w:val="22"/>
          <w:szCs w:val="22"/>
        </w:rPr>
        <w:t xml:space="preserve">require that the developer/owner </w:t>
      </w:r>
      <w:r w:rsidRPr="000751CC">
        <w:rPr>
          <w:rFonts w:ascii="Arial" w:hAnsi="Arial"/>
          <w:sz w:val="22"/>
          <w:szCs w:val="22"/>
        </w:rPr>
        <w:t xml:space="preserve">relinquish the </w:t>
      </w:r>
      <w:r w:rsidR="00DF5521">
        <w:rPr>
          <w:rFonts w:ascii="Arial" w:hAnsi="Arial"/>
          <w:sz w:val="22"/>
          <w:szCs w:val="22"/>
        </w:rPr>
        <w:t xml:space="preserve">bond </w:t>
      </w:r>
      <w:r w:rsidRPr="000751CC">
        <w:rPr>
          <w:rFonts w:ascii="Arial" w:hAnsi="Arial"/>
          <w:sz w:val="22"/>
          <w:szCs w:val="22"/>
        </w:rPr>
        <w:t>allocation.</w:t>
      </w:r>
    </w:p>
    <w:p w:rsidR="005B6DC6" w:rsidRDefault="005B6DC6" w:rsidP="00F12C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rsidR="005B6DC6" w:rsidRPr="005B6DC6" w:rsidRDefault="003D7447"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840"/>
        <w:jc w:val="both"/>
        <w:rPr>
          <w:rFonts w:ascii="Arial" w:hAnsi="Arial"/>
          <w:b/>
          <w:snapToGrid/>
          <w:sz w:val="22"/>
          <w:szCs w:val="22"/>
        </w:rPr>
      </w:pPr>
      <w:r>
        <w:rPr>
          <w:rFonts w:ascii="Arial" w:hAnsi="Arial"/>
          <w:b/>
          <w:sz w:val="22"/>
          <w:szCs w:val="22"/>
        </w:rPr>
        <w:tab/>
      </w:r>
      <w:r>
        <w:rPr>
          <w:rFonts w:ascii="Arial" w:hAnsi="Arial"/>
          <w:b/>
          <w:sz w:val="22"/>
          <w:szCs w:val="22"/>
        </w:rPr>
        <w:tab/>
      </w:r>
      <w:r w:rsidR="005B6DC6" w:rsidRPr="005B6DC6">
        <w:rPr>
          <w:rFonts w:ascii="Arial" w:hAnsi="Arial"/>
          <w:b/>
          <w:sz w:val="22"/>
          <w:szCs w:val="22"/>
        </w:rPr>
        <w:t>Pre Application Determination Letter – Saint Paul projects only</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840"/>
        <w:jc w:val="both"/>
        <w:rPr>
          <w:rFonts w:ascii="Arial" w:hAnsi="Arial"/>
          <w:b/>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Fonts w:ascii="Arial" w:hAnsi="Arial"/>
          <w:sz w:val="22"/>
          <w:szCs w:val="22"/>
        </w:rPr>
        <w:t xml:space="preserve">For projects located in Saint Paul.  An applicant for 4% HTC must demonstrate that the project is eligible for no less than 35 points under the 4% HTC Selection Criteria of the QAP.  </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8640"/>
        </w:tabs>
        <w:ind w:left="2160"/>
        <w:jc w:val="both"/>
        <w:rPr>
          <w:rFonts w:ascii="Arial" w:hAnsi="Arial"/>
          <w:sz w:val="22"/>
          <w:szCs w:val="22"/>
        </w:rPr>
      </w:pPr>
      <w:r w:rsidRPr="005B6DC6">
        <w:rPr>
          <w:rFonts w:ascii="Arial" w:hAnsi="Arial"/>
          <w:sz w:val="22"/>
          <w:szCs w:val="22"/>
        </w:rPr>
        <w:t>Pre-application is strongly encouraged prior to requesting an allocation of private activity bond authority.</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b/>
          <w:sz w:val="22"/>
          <w:szCs w:val="22"/>
        </w:rPr>
      </w:pPr>
      <w:r w:rsidRPr="005B6DC6">
        <w:rPr>
          <w:rFonts w:ascii="Arial" w:hAnsi="Arial"/>
          <w:b/>
          <w:sz w:val="22"/>
          <w:szCs w:val="22"/>
        </w:rPr>
        <w:t>Process for Pre-Application</w:t>
      </w:r>
      <w:r w:rsidRPr="005B6DC6">
        <w:rPr>
          <w:rStyle w:val="DeltaViewDeletion"/>
          <w:rFonts w:ascii="Arial" w:hAnsi="Arial"/>
          <w:b/>
          <w:color w:val="auto"/>
          <w:sz w:val="22"/>
          <w:szCs w:val="22"/>
        </w:rPr>
        <w:t xml:space="preserve">  </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cs="Arial"/>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Fonts w:ascii="Arial" w:hAnsi="Arial" w:cs="Arial"/>
          <w:sz w:val="22"/>
          <w:szCs w:val="22"/>
        </w:rPr>
        <w:t>All projects must be reviewed and determined to be consistent with City/ HRA plans, Saint Paul Comprehensive Plan, or Small Area Plans. All projects must comply with cost containment thresholds established by the HRA.  Projects with unique urban redevelopment conditions may request a cost containment adjustment, subject to HRA approval.</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Fonts w:ascii="Arial" w:hAnsi="Arial"/>
          <w:sz w:val="22"/>
          <w:szCs w:val="22"/>
        </w:rPr>
        <w:t>During September 1</w:t>
      </w:r>
      <w:r w:rsidRPr="005B6DC6">
        <w:rPr>
          <w:rFonts w:ascii="Arial" w:hAnsi="Arial"/>
          <w:sz w:val="22"/>
          <w:szCs w:val="22"/>
          <w:vertAlign w:val="superscript"/>
        </w:rPr>
        <w:t>st</w:t>
      </w:r>
      <w:r w:rsidRPr="005B6DC6">
        <w:rPr>
          <w:rFonts w:ascii="Arial" w:hAnsi="Arial"/>
          <w:sz w:val="22"/>
          <w:szCs w:val="22"/>
        </w:rPr>
        <w:t xml:space="preserve"> to November 1</w:t>
      </w:r>
      <w:r w:rsidRPr="005B6DC6">
        <w:rPr>
          <w:rFonts w:ascii="Arial" w:hAnsi="Arial"/>
          <w:sz w:val="22"/>
          <w:szCs w:val="22"/>
          <w:vertAlign w:val="superscript"/>
        </w:rPr>
        <w:t>st</w:t>
      </w:r>
      <w:r w:rsidRPr="005B6DC6">
        <w:rPr>
          <w:rFonts w:ascii="Arial" w:hAnsi="Arial"/>
          <w:sz w:val="22"/>
          <w:szCs w:val="22"/>
        </w:rPr>
        <w:t>, an applicant may submit a pre-</w:t>
      </w:r>
      <w:r w:rsidRPr="005B6DC6">
        <w:rPr>
          <w:rFonts w:ascii="Arial" w:hAnsi="Arial"/>
          <w:sz w:val="22"/>
          <w:szCs w:val="22"/>
        </w:rPr>
        <w:lastRenderedPageBreak/>
        <w:t xml:space="preserve">application letter of Intent to apply, which shall include the standard Workbook, a written description of the project, and completed scoring worksheet. There is no fee required in connection with the pre-application process. This information will assist HRA staff in determining whether the project meets the minimum 35 point requirement under the QAP. </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Style w:val="DeltaViewDeletion"/>
          <w:rFonts w:ascii="Arial" w:hAnsi="Arial"/>
          <w:color w:val="auto"/>
          <w:sz w:val="22"/>
          <w:szCs w:val="22"/>
        </w:rPr>
        <w:t xml:space="preserve">             </w:t>
      </w:r>
    </w:p>
    <w:p w:rsidR="005B6DC6" w:rsidRPr="005B6DC6" w:rsidRDefault="005B6DC6" w:rsidP="005B6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sidRPr="005B6DC6">
        <w:rPr>
          <w:rFonts w:ascii="Arial" w:hAnsi="Arial"/>
          <w:sz w:val="22"/>
          <w:szCs w:val="22"/>
        </w:rPr>
        <w:t xml:space="preserve">           Starting in January of each year, the HRA will accept HTC applications for projects seeking an allocation of private activity bond cap.  </w:t>
      </w:r>
      <w:r w:rsidR="003D7447">
        <w:rPr>
          <w:rStyle w:val="DeltaViewInsertion"/>
          <w:rFonts w:ascii="Arial" w:hAnsi="Arial"/>
          <w:color w:val="auto"/>
          <w:sz w:val="22"/>
          <w:szCs w:val="22"/>
          <w:u w:val="none"/>
        </w:rPr>
        <w:t>See: Article VIII</w:t>
      </w:r>
      <w:r w:rsidRPr="005B6DC6">
        <w:rPr>
          <w:rStyle w:val="DeltaViewInsertion"/>
          <w:rFonts w:ascii="Arial" w:hAnsi="Arial"/>
          <w:color w:val="auto"/>
          <w:sz w:val="22"/>
          <w:szCs w:val="22"/>
          <w:u w:val="none"/>
        </w:rPr>
        <w:t xml:space="preserve"> of this Procedural Manual for specific HTC application and fee requirements.  4% HTC </w:t>
      </w:r>
      <w:r w:rsidRPr="005B6DC6">
        <w:rPr>
          <w:rFonts w:ascii="Arial" w:hAnsi="Arial"/>
          <w:sz w:val="22"/>
        </w:rPr>
        <w:t xml:space="preserve">Allocation Fee (See Section VIII) is required with at the time of closing.   </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Style w:val="DeltaViewDeletion"/>
          <w:rFonts w:ascii="Arial" w:hAnsi="Arial"/>
          <w:color w:val="auto"/>
          <w:sz w:val="22"/>
          <w:szCs w:val="22"/>
        </w:rPr>
        <w:t xml:space="preserve"> </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Fonts w:ascii="Arial" w:hAnsi="Arial"/>
          <w:sz w:val="22"/>
          <w:szCs w:val="22"/>
        </w:rPr>
        <w:t>Projects that do not score a minimum of 35 points under the 4% Tax Credit Selection Criteria of the QAP are not eligible for a private activity bond allocation award. If the private activity bond allocation for Minneapolis is over-subscribed, the HRA, at its discretion, will prioritize projects based upon total project points received pursuant to the QAP, whether the project is on City/HRA-owned land, the readiness of the project to proceed, the amount and term of the private activity bond allocation requested, and the overall feasibility of the project.</w:t>
      </w: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p>
    <w:p w:rsidR="005B6DC6" w:rsidRPr="005B6DC6" w:rsidRDefault="005B6DC6" w:rsidP="005B6D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0"/>
        </w:tabs>
        <w:ind w:left="2160"/>
        <w:jc w:val="both"/>
        <w:rPr>
          <w:rFonts w:ascii="Arial" w:hAnsi="Arial"/>
          <w:sz w:val="22"/>
          <w:szCs w:val="22"/>
        </w:rPr>
      </w:pPr>
      <w:r w:rsidRPr="005B6DC6">
        <w:rPr>
          <w:rFonts w:ascii="Arial" w:hAnsi="Arial"/>
          <w:sz w:val="22"/>
          <w:szCs w:val="22"/>
        </w:rPr>
        <w:t>Upon final approval of the project by the HRA</w:t>
      </w:r>
      <w:r w:rsidRPr="005B6DC6">
        <w:rPr>
          <w:rFonts w:ascii="Arial" w:hAnsi="Arial"/>
          <w:b/>
          <w:sz w:val="22"/>
          <w:szCs w:val="22"/>
        </w:rPr>
        <w:t>,</w:t>
      </w:r>
      <w:r w:rsidRPr="005B6DC6">
        <w:rPr>
          <w:rFonts w:ascii="Arial" w:hAnsi="Arial"/>
          <w:sz w:val="22"/>
          <w:szCs w:val="22"/>
        </w:rPr>
        <w:t xml:space="preserve"> the developer/owner</w:t>
      </w:r>
      <w:r w:rsidRPr="005B6DC6">
        <w:rPr>
          <w:rStyle w:val="DeltaViewInsertion"/>
          <w:rFonts w:ascii="Arial" w:hAnsi="Arial"/>
          <w:color w:val="auto"/>
          <w:sz w:val="22"/>
          <w:szCs w:val="22"/>
          <w:u w:val="none"/>
        </w:rPr>
        <w:t xml:space="preserve"> </w:t>
      </w:r>
      <w:r w:rsidRPr="005B6DC6">
        <w:rPr>
          <w:rFonts w:ascii="Arial" w:hAnsi="Arial"/>
          <w:sz w:val="22"/>
          <w:szCs w:val="22"/>
        </w:rPr>
        <w:t>will be required to close on the project by no later than 180 days from the date of the City Council Bond approval. If the project does not close within the time allotted, the HRA will in its sole discretion make a determination whether or not to grant a one-time extension of up to 180 days or require that the developer/owner relinquish the bond allocation.</w:t>
      </w:r>
    </w:p>
    <w:p w:rsidR="005F6082" w:rsidRPr="00E03091" w:rsidRDefault="00866E11" w:rsidP="00676FB1">
      <w:pPr>
        <w:pStyle w:val="Heading2"/>
        <w:spacing w:after="0"/>
        <w:ind w:left="720"/>
        <w:rPr>
          <w:rFonts w:ascii="Arial" w:hAnsi="Arial"/>
          <w:i w:val="0"/>
          <w:sz w:val="22"/>
        </w:rPr>
      </w:pPr>
      <w:bookmarkStart w:id="15" w:name="_Toc511902994"/>
      <w:r w:rsidRPr="00922918">
        <w:rPr>
          <w:rFonts w:ascii="Arial" w:hAnsi="Arial"/>
          <w:sz w:val="22"/>
          <w:szCs w:val="22"/>
        </w:rPr>
        <w:t xml:space="preserve"> </w:t>
      </w:r>
      <w:r w:rsidR="0033248F" w:rsidRPr="00922918">
        <w:rPr>
          <w:rFonts w:ascii="Arial" w:hAnsi="Arial"/>
          <w:i w:val="0"/>
          <w:sz w:val="22"/>
        </w:rPr>
        <w:t>L</w:t>
      </w:r>
      <w:r w:rsidR="00922918" w:rsidRPr="00922918">
        <w:rPr>
          <w:rFonts w:ascii="Arial" w:hAnsi="Arial"/>
          <w:i w:val="0"/>
          <w:sz w:val="22"/>
        </w:rPr>
        <w:t>.</w:t>
      </w:r>
      <w:r w:rsidR="005F6082" w:rsidRPr="00E03091">
        <w:rPr>
          <w:rFonts w:ascii="Arial" w:hAnsi="Arial"/>
          <w:i w:val="0"/>
          <w:sz w:val="22"/>
        </w:rPr>
        <w:tab/>
        <w:t>Reservations</w:t>
      </w:r>
      <w:r w:rsidR="005F6082" w:rsidRPr="00E03091">
        <w:rPr>
          <w:rFonts w:ascii="Arial" w:hAnsi="Arial"/>
          <w:i w:val="0"/>
          <w:sz w:val="22"/>
        </w:rPr>
        <w:fldChar w:fldCharType="begin"/>
      </w:r>
      <w:r w:rsidR="005F6082" w:rsidRPr="00E03091">
        <w:rPr>
          <w:rFonts w:ascii="Arial" w:hAnsi="Arial"/>
          <w:i w:val="0"/>
          <w:sz w:val="22"/>
        </w:rPr>
        <w:instrText>tc \l2 "K.</w:instrText>
      </w:r>
      <w:r w:rsidR="005F6082" w:rsidRPr="00E03091">
        <w:rPr>
          <w:rFonts w:ascii="Arial" w:hAnsi="Arial"/>
          <w:i w:val="0"/>
          <w:sz w:val="22"/>
        </w:rPr>
        <w:tab/>
        <w:instrText>Reservations</w:instrText>
      </w:r>
      <w:r w:rsidR="005F6082" w:rsidRPr="00E03091">
        <w:rPr>
          <w:rFonts w:ascii="Arial" w:hAnsi="Arial"/>
          <w:i w:val="0"/>
          <w:sz w:val="22"/>
        </w:rPr>
        <w:fldChar w:fldCharType="end"/>
      </w:r>
      <w:bookmarkEnd w:id="15"/>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rPr>
      </w:pPr>
    </w:p>
    <w:p w:rsidR="005F6082" w:rsidRPr="00147B2E" w:rsidRDefault="00B94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C729FB">
        <w:rPr>
          <w:rFonts w:ascii="Arial" w:hAnsi="Arial"/>
          <w:sz w:val="22"/>
        </w:rPr>
        <w:tab/>
        <w:t xml:space="preserve">Once </w:t>
      </w:r>
      <w:r w:rsidR="00350A65">
        <w:rPr>
          <w:rFonts w:ascii="Arial" w:hAnsi="Arial"/>
          <w:sz w:val="22"/>
        </w:rPr>
        <w:t>CPED</w:t>
      </w:r>
      <w:r w:rsidR="00C729FB">
        <w:rPr>
          <w:rFonts w:ascii="Arial" w:hAnsi="Arial"/>
          <w:sz w:val="22"/>
        </w:rPr>
        <w:t xml:space="preserve"> and </w:t>
      </w:r>
      <w:r w:rsidR="005F6082">
        <w:rPr>
          <w:rFonts w:ascii="Arial" w:hAnsi="Arial"/>
          <w:sz w:val="22"/>
        </w:rPr>
        <w:t>HRA</w:t>
      </w:r>
      <w:r w:rsidR="00C729FB">
        <w:rPr>
          <w:rFonts w:ascii="Arial" w:hAnsi="Arial"/>
          <w:sz w:val="22"/>
        </w:rPr>
        <w:t xml:space="preserve"> staff</w:t>
      </w:r>
      <w:r w:rsidR="005F6082">
        <w:rPr>
          <w:rFonts w:ascii="Arial" w:hAnsi="Arial"/>
          <w:sz w:val="22"/>
        </w:rPr>
        <w:t>, respectively, ha</w:t>
      </w:r>
      <w:r w:rsidR="00C729FB">
        <w:rPr>
          <w:rFonts w:ascii="Arial" w:hAnsi="Arial"/>
          <w:sz w:val="22"/>
        </w:rPr>
        <w:t>ve</w:t>
      </w:r>
      <w:r w:rsidR="005F6082">
        <w:rPr>
          <w:rFonts w:ascii="Arial" w:hAnsi="Arial"/>
          <w:sz w:val="22"/>
        </w:rPr>
        <w:t xml:space="preserve"> ranked </w:t>
      </w:r>
      <w:r w:rsidR="009D2452">
        <w:rPr>
          <w:rFonts w:ascii="Arial" w:hAnsi="Arial"/>
          <w:sz w:val="22"/>
        </w:rPr>
        <w:t xml:space="preserve">the 9% </w:t>
      </w:r>
      <w:r w:rsidR="00C729FB">
        <w:rPr>
          <w:rFonts w:ascii="Arial" w:hAnsi="Arial"/>
          <w:sz w:val="22"/>
        </w:rPr>
        <w:t xml:space="preserve">HTC </w:t>
      </w:r>
      <w:r w:rsidR="005F6082">
        <w:rPr>
          <w:rFonts w:ascii="Arial" w:hAnsi="Arial"/>
          <w:sz w:val="22"/>
        </w:rPr>
        <w:t>applications</w:t>
      </w:r>
      <w:r w:rsidR="00C729FB">
        <w:rPr>
          <w:rFonts w:ascii="Arial" w:hAnsi="Arial"/>
          <w:sz w:val="22"/>
        </w:rPr>
        <w:t xml:space="preserve"> and determined allowable </w:t>
      </w:r>
      <w:r w:rsidR="00297A4F">
        <w:rPr>
          <w:rFonts w:ascii="Arial" w:hAnsi="Arial"/>
          <w:sz w:val="22"/>
        </w:rPr>
        <w:t xml:space="preserve">9% </w:t>
      </w:r>
      <w:r w:rsidR="00C729FB">
        <w:rPr>
          <w:rFonts w:ascii="Arial" w:hAnsi="Arial"/>
          <w:sz w:val="22"/>
        </w:rPr>
        <w:t>HTC</w:t>
      </w:r>
      <w:r w:rsidR="00147B2E">
        <w:rPr>
          <w:rFonts w:ascii="Arial" w:hAnsi="Arial"/>
          <w:sz w:val="22"/>
        </w:rPr>
        <w:t xml:space="preserve"> amount</w:t>
      </w:r>
      <w:r w:rsidR="005F6082">
        <w:rPr>
          <w:rFonts w:ascii="Arial" w:hAnsi="Arial"/>
          <w:sz w:val="22"/>
        </w:rPr>
        <w:t xml:space="preserve"> for each application, staff will make recommendations to the </w:t>
      </w:r>
      <w:r w:rsidR="005F6082" w:rsidRPr="00F12C86">
        <w:rPr>
          <w:rFonts w:ascii="Arial" w:hAnsi="Arial"/>
          <w:sz w:val="22"/>
        </w:rPr>
        <w:t>City Council, in Minneapolis</w:t>
      </w:r>
      <w:r w:rsidR="00147B2E" w:rsidRPr="00F12C86">
        <w:rPr>
          <w:rFonts w:ascii="Arial" w:hAnsi="Arial"/>
          <w:sz w:val="22"/>
        </w:rPr>
        <w:t xml:space="preserve">, </w:t>
      </w:r>
      <w:r w:rsidR="00147B2E">
        <w:rPr>
          <w:rFonts w:ascii="Arial" w:hAnsi="Arial"/>
          <w:sz w:val="22"/>
        </w:rPr>
        <w:t xml:space="preserve">or the HRA </w:t>
      </w:r>
      <w:r w:rsidR="005F6082">
        <w:rPr>
          <w:rFonts w:ascii="Arial" w:hAnsi="Arial"/>
          <w:sz w:val="22"/>
        </w:rPr>
        <w:t>and to the</w:t>
      </w:r>
      <w:r w:rsidR="00297A4F">
        <w:rPr>
          <w:rFonts w:ascii="Arial" w:hAnsi="Arial"/>
          <w:sz w:val="22"/>
        </w:rPr>
        <w:t xml:space="preserve"> Boa</w:t>
      </w:r>
      <w:r w:rsidR="009D2452">
        <w:rPr>
          <w:rFonts w:ascii="Arial" w:hAnsi="Arial"/>
          <w:sz w:val="22"/>
        </w:rPr>
        <w:t xml:space="preserve">rd for final approval of a 9% </w:t>
      </w:r>
      <w:r w:rsidR="00297A4F">
        <w:rPr>
          <w:rFonts w:ascii="Arial" w:hAnsi="Arial"/>
          <w:sz w:val="22"/>
        </w:rPr>
        <w:t>HTC</w:t>
      </w:r>
      <w:r w:rsidR="00147B2E">
        <w:rPr>
          <w:rFonts w:ascii="Arial" w:hAnsi="Arial"/>
          <w:sz w:val="22"/>
        </w:rPr>
        <w:t xml:space="preserve"> reservation (“Reservation”</w:t>
      </w:r>
      <w:r w:rsidR="000D6D92">
        <w:rPr>
          <w:rFonts w:ascii="Arial" w:hAnsi="Arial"/>
          <w:sz w:val="22"/>
        </w:rPr>
        <w:t>).</w:t>
      </w:r>
      <w:r w:rsidR="00147B2E">
        <w:rPr>
          <w:rFonts w:ascii="Arial" w:hAnsi="Arial"/>
          <w:sz w:val="22"/>
        </w:rPr>
        <w:t xml:space="preserve">  Each R</w:t>
      </w:r>
      <w:r w:rsidR="005F6082">
        <w:rPr>
          <w:rFonts w:ascii="Arial" w:hAnsi="Arial"/>
          <w:sz w:val="22"/>
        </w:rPr>
        <w:t xml:space="preserve">eservation shall be conditioned upon receipt of </w:t>
      </w:r>
      <w:r w:rsidR="00297A4F">
        <w:rPr>
          <w:rFonts w:ascii="Arial" w:hAnsi="Arial"/>
          <w:sz w:val="22"/>
        </w:rPr>
        <w:t xml:space="preserve">a </w:t>
      </w:r>
      <w:r w:rsidR="005F6082">
        <w:rPr>
          <w:rFonts w:ascii="Arial" w:hAnsi="Arial"/>
          <w:sz w:val="22"/>
        </w:rPr>
        <w:t xml:space="preserve">written certification </w:t>
      </w:r>
      <w:r w:rsidR="00147B2E">
        <w:rPr>
          <w:rFonts w:ascii="Arial" w:hAnsi="Arial"/>
          <w:sz w:val="22"/>
        </w:rPr>
        <w:t xml:space="preserve">from the </w:t>
      </w:r>
      <w:r w:rsidR="00F12C86">
        <w:rPr>
          <w:rFonts w:ascii="Arial" w:hAnsi="Arial"/>
          <w:sz w:val="22"/>
        </w:rPr>
        <w:t xml:space="preserve">applicant </w:t>
      </w:r>
      <w:r w:rsidR="005F6082">
        <w:rPr>
          <w:rFonts w:ascii="Arial" w:hAnsi="Arial"/>
          <w:sz w:val="22"/>
        </w:rPr>
        <w:t xml:space="preserve">and evidence of timely progress toward completion of the project acceptable to </w:t>
      </w:r>
      <w:r w:rsidR="00350A65">
        <w:rPr>
          <w:rFonts w:ascii="Arial" w:hAnsi="Arial"/>
          <w:sz w:val="22"/>
        </w:rPr>
        <w:t>CPED</w:t>
      </w:r>
      <w:r w:rsidR="005F6082">
        <w:rPr>
          <w:rFonts w:ascii="Arial" w:hAnsi="Arial"/>
          <w:sz w:val="22"/>
        </w:rPr>
        <w:t xml:space="preserve"> and HRA, respectively, and evidence of compliance with </w:t>
      </w:r>
      <w:r w:rsidR="0026193F">
        <w:rPr>
          <w:rFonts w:ascii="Arial" w:hAnsi="Arial"/>
          <w:sz w:val="22"/>
        </w:rPr>
        <w:t xml:space="preserve">the requirements of </w:t>
      </w:r>
      <w:r w:rsidR="00297A4F">
        <w:rPr>
          <w:rFonts w:ascii="Arial" w:hAnsi="Arial"/>
          <w:sz w:val="22"/>
        </w:rPr>
        <w:t xml:space="preserve">Section 42 </w:t>
      </w:r>
      <w:r w:rsidR="0026193F">
        <w:rPr>
          <w:rFonts w:ascii="Arial" w:hAnsi="Arial"/>
          <w:sz w:val="22"/>
        </w:rPr>
        <w:t>of the Code.</w:t>
      </w:r>
      <w:r w:rsidR="005F6082">
        <w:rPr>
          <w:rFonts w:ascii="Arial" w:hAnsi="Arial"/>
          <w:sz w:val="22"/>
        </w:rPr>
        <w:t xml:space="preserve">  </w:t>
      </w:r>
      <w:r w:rsidR="005F6082" w:rsidRPr="00147B2E">
        <w:rPr>
          <w:rFonts w:ascii="Arial" w:hAnsi="Arial"/>
          <w:sz w:val="22"/>
        </w:rPr>
        <w:t>Re</w:t>
      </w:r>
      <w:r w:rsidR="00147B2E" w:rsidRPr="00147B2E">
        <w:rPr>
          <w:rFonts w:ascii="Arial" w:hAnsi="Arial"/>
          <w:sz w:val="22"/>
        </w:rPr>
        <w:t>fer to Section VIII for R</w:t>
      </w:r>
      <w:r w:rsidR="005F6082" w:rsidRPr="00147B2E">
        <w:rPr>
          <w:rFonts w:ascii="Arial" w:hAnsi="Arial"/>
          <w:sz w:val="22"/>
        </w:rPr>
        <w:t>eservation requirements.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147B2E" w:rsidRPr="009D2452" w:rsidRDefault="00B94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r>
      <w:r w:rsidR="004D7077">
        <w:rPr>
          <w:rFonts w:ascii="Arial" w:hAnsi="Arial"/>
          <w:sz w:val="22"/>
          <w:u w:val="single"/>
        </w:rPr>
        <w:t>For Minneapolis projects</w:t>
      </w:r>
      <w:r w:rsidR="00F12C86">
        <w:rPr>
          <w:rFonts w:ascii="Arial" w:hAnsi="Arial"/>
          <w:sz w:val="22"/>
        </w:rPr>
        <w:t>.</w:t>
      </w:r>
      <w:r w:rsidR="004D7077">
        <w:rPr>
          <w:rFonts w:ascii="Arial" w:hAnsi="Arial"/>
          <w:sz w:val="22"/>
        </w:rPr>
        <w:t xml:space="preserve"> </w:t>
      </w:r>
      <w:r w:rsidR="005F6082" w:rsidRPr="004D7077">
        <w:rPr>
          <w:rFonts w:ascii="Arial" w:hAnsi="Arial"/>
          <w:sz w:val="22"/>
        </w:rPr>
        <w:t>The Minneapolis City Council</w:t>
      </w:r>
      <w:r w:rsidR="005F6082">
        <w:rPr>
          <w:rFonts w:ascii="Arial" w:hAnsi="Arial"/>
          <w:sz w:val="22"/>
        </w:rPr>
        <w:t xml:space="preserve"> and the Board reserve the right to </w:t>
      </w:r>
      <w:r w:rsidR="009D2452">
        <w:rPr>
          <w:rFonts w:ascii="Arial" w:hAnsi="Arial"/>
          <w:sz w:val="22"/>
        </w:rPr>
        <w:t xml:space="preserve">not commit 9% </w:t>
      </w:r>
      <w:r w:rsidR="00297A4F">
        <w:rPr>
          <w:rFonts w:ascii="Arial" w:hAnsi="Arial"/>
          <w:sz w:val="22"/>
        </w:rPr>
        <w:t xml:space="preserve">HTC to any project if they determine, in </w:t>
      </w:r>
      <w:r w:rsidR="00846F56">
        <w:rPr>
          <w:rFonts w:ascii="Arial" w:hAnsi="Arial"/>
          <w:sz w:val="22"/>
        </w:rPr>
        <w:t xml:space="preserve">their </w:t>
      </w:r>
      <w:r w:rsidR="005F6082">
        <w:rPr>
          <w:rFonts w:ascii="Arial" w:hAnsi="Arial"/>
          <w:sz w:val="22"/>
        </w:rPr>
        <w:t>sole discretion of the Minneapolis Cit</w:t>
      </w:r>
      <w:r w:rsidR="001A6D81">
        <w:rPr>
          <w:rFonts w:ascii="Arial" w:hAnsi="Arial"/>
          <w:sz w:val="22"/>
        </w:rPr>
        <w:t>y Council that a R</w:t>
      </w:r>
      <w:r w:rsidR="00147B2E">
        <w:rPr>
          <w:rFonts w:ascii="Arial" w:hAnsi="Arial"/>
          <w:sz w:val="22"/>
        </w:rPr>
        <w:t>eservation to</w:t>
      </w:r>
      <w:r w:rsidR="005F6082">
        <w:rPr>
          <w:rFonts w:ascii="Arial" w:hAnsi="Arial"/>
          <w:sz w:val="22"/>
        </w:rPr>
        <w:t xml:space="preserve"> such project does not further the purpose and goals set forth in the </w:t>
      </w:r>
      <w:r w:rsidR="005F6082" w:rsidRPr="009D2452">
        <w:rPr>
          <w:rFonts w:ascii="Arial" w:hAnsi="Arial"/>
          <w:sz w:val="22"/>
        </w:rPr>
        <w:t xml:space="preserve">City of Minneapolis </w:t>
      </w:r>
      <w:r w:rsidR="009D2452" w:rsidRPr="009D2452">
        <w:rPr>
          <w:rFonts w:ascii="Arial" w:hAnsi="Arial"/>
          <w:sz w:val="22"/>
        </w:rPr>
        <w:t>Consolidated Plan, C</w:t>
      </w:r>
      <w:r w:rsidR="005F6082" w:rsidRPr="009D2452">
        <w:rPr>
          <w:rFonts w:ascii="Arial" w:hAnsi="Arial"/>
          <w:sz w:val="22"/>
        </w:rPr>
        <w:t xml:space="preserve">omprehensive Plan </w:t>
      </w:r>
      <w:r w:rsidR="009D2452" w:rsidRPr="009D2452">
        <w:rPr>
          <w:rFonts w:ascii="Arial" w:hAnsi="Arial"/>
          <w:sz w:val="22"/>
        </w:rPr>
        <w:t>or any city adopted Neighborhood Plan document.</w:t>
      </w:r>
    </w:p>
    <w:p w:rsidR="00147B2E" w:rsidRDefault="00147B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4D70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ab/>
      </w:r>
      <w:r>
        <w:rPr>
          <w:rFonts w:ascii="Arial" w:hAnsi="Arial"/>
          <w:sz w:val="22"/>
          <w:u w:val="single"/>
        </w:rPr>
        <w:t>For Saint Paul projects</w:t>
      </w:r>
      <w:r>
        <w:rPr>
          <w:rFonts w:ascii="Arial" w:hAnsi="Arial"/>
          <w:sz w:val="22"/>
        </w:rPr>
        <w:t xml:space="preserve">: </w:t>
      </w:r>
      <w:r w:rsidR="005F6082">
        <w:rPr>
          <w:rFonts w:ascii="Arial" w:hAnsi="Arial"/>
          <w:sz w:val="22"/>
        </w:rPr>
        <w:t xml:space="preserve">HRA and </w:t>
      </w:r>
      <w:r w:rsidR="00297A4F">
        <w:rPr>
          <w:rFonts w:ascii="Arial" w:hAnsi="Arial"/>
          <w:sz w:val="22"/>
        </w:rPr>
        <w:t xml:space="preserve">the Board reserve the right </w:t>
      </w:r>
      <w:r w:rsidR="005F6082">
        <w:rPr>
          <w:rFonts w:ascii="Arial" w:hAnsi="Arial"/>
          <w:sz w:val="22"/>
        </w:rPr>
        <w:t xml:space="preserve">to </w:t>
      </w:r>
      <w:r w:rsidR="009D2452">
        <w:rPr>
          <w:rFonts w:ascii="Arial" w:hAnsi="Arial"/>
          <w:sz w:val="22"/>
        </w:rPr>
        <w:t xml:space="preserve">not commit 9% </w:t>
      </w:r>
      <w:r w:rsidR="00297A4F">
        <w:rPr>
          <w:rFonts w:ascii="Arial" w:hAnsi="Arial"/>
          <w:sz w:val="22"/>
        </w:rPr>
        <w:t xml:space="preserve">HTC to any project if they </w:t>
      </w:r>
      <w:r w:rsidR="005F6082">
        <w:rPr>
          <w:rFonts w:ascii="Arial" w:hAnsi="Arial"/>
          <w:sz w:val="22"/>
        </w:rPr>
        <w:t>determined, in</w:t>
      </w:r>
      <w:r>
        <w:rPr>
          <w:rFonts w:ascii="Arial" w:hAnsi="Arial"/>
          <w:sz w:val="22"/>
        </w:rPr>
        <w:t xml:space="preserve"> the sole discretion of </w:t>
      </w:r>
      <w:r w:rsidR="00297A4F">
        <w:rPr>
          <w:rFonts w:ascii="Arial" w:hAnsi="Arial"/>
          <w:sz w:val="22"/>
        </w:rPr>
        <w:t xml:space="preserve">HRA </w:t>
      </w:r>
      <w:r w:rsidR="005F6082">
        <w:rPr>
          <w:rFonts w:ascii="Arial" w:hAnsi="Arial"/>
          <w:sz w:val="22"/>
        </w:rPr>
        <w:t xml:space="preserve">that a </w:t>
      </w:r>
      <w:r w:rsidR="001A6D81">
        <w:rPr>
          <w:rFonts w:ascii="Arial" w:hAnsi="Arial"/>
          <w:sz w:val="22"/>
        </w:rPr>
        <w:t>R</w:t>
      </w:r>
      <w:r w:rsidR="005F6082">
        <w:rPr>
          <w:rFonts w:ascii="Arial" w:hAnsi="Arial"/>
          <w:sz w:val="22"/>
        </w:rPr>
        <w:t xml:space="preserve">eservation for such project does not further the purpose and </w:t>
      </w:r>
      <w:r w:rsidR="005F6082">
        <w:rPr>
          <w:rFonts w:ascii="Arial" w:hAnsi="Arial"/>
          <w:sz w:val="22"/>
        </w:rPr>
        <w:lastRenderedPageBreak/>
        <w:t>goals set forth in the</w:t>
      </w:r>
      <w:r w:rsidR="00A5110C">
        <w:rPr>
          <w:rFonts w:ascii="Arial" w:hAnsi="Arial"/>
          <w:sz w:val="22"/>
        </w:rPr>
        <w:t xml:space="preserve"> </w:t>
      </w:r>
      <w:r w:rsidR="00F537F8">
        <w:rPr>
          <w:rFonts w:ascii="Arial" w:hAnsi="Arial"/>
          <w:sz w:val="22"/>
        </w:rPr>
        <w:t>City of S</w:t>
      </w:r>
      <w:r w:rsidR="007F6B08">
        <w:rPr>
          <w:rFonts w:ascii="Arial" w:hAnsi="Arial"/>
          <w:sz w:val="22"/>
        </w:rPr>
        <w:t>aint Paul</w:t>
      </w:r>
      <w:r w:rsidR="00F537F8">
        <w:rPr>
          <w:rFonts w:ascii="Arial" w:hAnsi="Arial"/>
          <w:sz w:val="22"/>
        </w:rPr>
        <w:t xml:space="preserve"> Consolidated Plan,</w:t>
      </w:r>
      <w:r w:rsidR="007F6B08">
        <w:rPr>
          <w:rFonts w:ascii="Arial" w:hAnsi="Arial"/>
          <w:sz w:val="22"/>
        </w:rPr>
        <w:t xml:space="preserve"> Comprehensive Plan</w:t>
      </w:r>
      <w:r w:rsidR="00F537F8">
        <w:rPr>
          <w:rFonts w:ascii="Arial" w:hAnsi="Arial"/>
          <w:sz w:val="22"/>
        </w:rPr>
        <w:t xml:space="preserve"> or Small Area Plans.</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sidR="005F6082">
        <w:rPr>
          <w:rFonts w:ascii="Arial" w:hAnsi="Arial"/>
          <w:sz w:val="22"/>
        </w:rPr>
        <w:tab/>
        <w:t xml:space="preserve">Within ten (10) days after </w:t>
      </w:r>
      <w:r w:rsidR="005F6082" w:rsidRPr="00F12C86">
        <w:rPr>
          <w:rFonts w:ascii="Arial" w:hAnsi="Arial"/>
          <w:sz w:val="22"/>
        </w:rPr>
        <w:t>a Minneapolis Council/HRA Board</w:t>
      </w:r>
      <w:r w:rsidR="005F6082">
        <w:rPr>
          <w:rFonts w:ascii="Arial" w:hAnsi="Arial"/>
          <w:sz w:val="22"/>
        </w:rPr>
        <w:t xml:space="preserve"> decisi</w:t>
      </w:r>
      <w:r w:rsidR="00F537F8">
        <w:rPr>
          <w:rFonts w:ascii="Arial" w:hAnsi="Arial"/>
          <w:sz w:val="22"/>
        </w:rPr>
        <w:t xml:space="preserve">on to deny a 9% </w:t>
      </w:r>
      <w:r w:rsidR="00297A4F">
        <w:rPr>
          <w:rFonts w:ascii="Arial" w:hAnsi="Arial"/>
          <w:sz w:val="22"/>
        </w:rPr>
        <w:t>HTC</w:t>
      </w:r>
      <w:r w:rsidR="004D7077">
        <w:rPr>
          <w:rFonts w:ascii="Arial" w:hAnsi="Arial"/>
          <w:sz w:val="22"/>
        </w:rPr>
        <w:t xml:space="preserve"> application</w:t>
      </w:r>
      <w:r w:rsidR="005F6082">
        <w:rPr>
          <w:rFonts w:ascii="Arial" w:hAnsi="Arial"/>
          <w:sz w:val="22"/>
        </w:rPr>
        <w:t xml:space="preserve">, </w:t>
      </w:r>
      <w:r w:rsidR="004D7077">
        <w:rPr>
          <w:rFonts w:ascii="Arial" w:hAnsi="Arial"/>
          <w:sz w:val="22"/>
        </w:rPr>
        <w:t xml:space="preserve">respective </w:t>
      </w:r>
      <w:r w:rsidR="005F6082">
        <w:rPr>
          <w:rFonts w:ascii="Arial" w:hAnsi="Arial"/>
          <w:sz w:val="22"/>
        </w:rPr>
        <w:t xml:space="preserve">staff will notify the applicant in writing of the reason for denying the </w:t>
      </w:r>
      <w:r w:rsidR="004D7077">
        <w:rPr>
          <w:rFonts w:ascii="Arial" w:hAnsi="Arial"/>
          <w:sz w:val="22"/>
        </w:rPr>
        <w:t>request for</w:t>
      </w:r>
      <w:r w:rsidR="005F6082">
        <w:rPr>
          <w:rFonts w:ascii="Arial" w:hAnsi="Arial"/>
          <w:sz w:val="22"/>
        </w:rPr>
        <w:t xml:space="preserve"> </w:t>
      </w:r>
      <w:r w:rsidR="00297A4F">
        <w:rPr>
          <w:rFonts w:ascii="Arial" w:hAnsi="Arial"/>
          <w:sz w:val="22"/>
        </w:rPr>
        <w:t xml:space="preserve">9% </w:t>
      </w:r>
      <w:r w:rsidR="00600022">
        <w:rPr>
          <w:rFonts w:ascii="Arial" w:hAnsi="Arial" w:cs="Arial"/>
          <w:sz w:val="22"/>
          <w:szCs w:val="22"/>
        </w:rPr>
        <w:t>HTC</w:t>
      </w:r>
      <w:r w:rsidR="005F6082">
        <w:rPr>
          <w:rFonts w:ascii="Arial" w:hAnsi="Arial"/>
          <w:sz w:val="22"/>
        </w:rPr>
        <w:t>.</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sidR="00297A4F">
        <w:rPr>
          <w:rFonts w:ascii="Arial" w:hAnsi="Arial"/>
          <w:sz w:val="22"/>
        </w:rPr>
        <w:tab/>
      </w:r>
      <w:r w:rsidR="00F537F8">
        <w:rPr>
          <w:rFonts w:ascii="Arial" w:hAnsi="Arial"/>
          <w:sz w:val="22"/>
        </w:rPr>
        <w:t xml:space="preserve">9% </w:t>
      </w:r>
      <w:r w:rsidR="00E84C9B">
        <w:rPr>
          <w:rFonts w:ascii="Arial" w:hAnsi="Arial"/>
          <w:sz w:val="22"/>
        </w:rPr>
        <w:t xml:space="preserve">HTC requests </w:t>
      </w:r>
      <w:r w:rsidR="005F6082">
        <w:rPr>
          <w:rFonts w:ascii="Arial" w:hAnsi="Arial"/>
          <w:sz w:val="22"/>
        </w:rPr>
        <w:t>may be denied</w:t>
      </w:r>
      <w:r w:rsidR="00E84C9B">
        <w:rPr>
          <w:rFonts w:ascii="Arial" w:hAnsi="Arial"/>
          <w:sz w:val="22"/>
        </w:rPr>
        <w:t>,</w:t>
      </w:r>
      <w:r w:rsidR="00F12C86">
        <w:rPr>
          <w:rFonts w:ascii="Arial" w:hAnsi="Arial"/>
          <w:sz w:val="22"/>
        </w:rPr>
        <w:t xml:space="preserve"> including,</w:t>
      </w:r>
      <w:r w:rsidR="005F6082">
        <w:rPr>
          <w:rFonts w:ascii="Arial" w:hAnsi="Arial"/>
          <w:sz w:val="22"/>
        </w:rPr>
        <w:t xml:space="preserve"> but are not limited to</w:t>
      </w:r>
      <w:r w:rsidR="00E84C9B">
        <w:rPr>
          <w:rFonts w:ascii="Arial" w:hAnsi="Arial"/>
          <w:sz w:val="22"/>
        </w:rPr>
        <w:t>,</w:t>
      </w:r>
      <w:r w:rsidR="005F6082">
        <w:rPr>
          <w:rFonts w:ascii="Arial" w:hAnsi="Arial"/>
          <w:sz w:val="22"/>
        </w:rPr>
        <w:t xml:space="preserve"> the following:</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E84C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(a)</w:t>
      </w:r>
      <w:r>
        <w:rPr>
          <w:rFonts w:ascii="Arial" w:hAnsi="Arial"/>
          <w:sz w:val="22"/>
        </w:rPr>
        <w:tab/>
        <w:t xml:space="preserve">Falsifying information in </w:t>
      </w:r>
      <w:r w:rsidR="005F6082">
        <w:rPr>
          <w:rFonts w:ascii="Arial" w:hAnsi="Arial"/>
          <w:sz w:val="22"/>
        </w:rPr>
        <w:t xml:space="preserve">the </w:t>
      </w:r>
      <w:r w:rsidR="00602D0D">
        <w:rPr>
          <w:rFonts w:ascii="Arial" w:hAnsi="Arial"/>
          <w:sz w:val="22"/>
        </w:rPr>
        <w:t>A</w:t>
      </w:r>
      <w:r w:rsidR="005F6082">
        <w:rPr>
          <w:rFonts w:ascii="Arial" w:hAnsi="Arial"/>
          <w:sz w:val="22"/>
        </w:rPr>
        <w:t>pplication or misrep</w:t>
      </w:r>
      <w:r>
        <w:rPr>
          <w:rFonts w:ascii="Arial" w:hAnsi="Arial"/>
          <w:sz w:val="22"/>
        </w:rPr>
        <w:t xml:space="preserve">resentations of the applicant;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Pr>
          <w:rFonts w:ascii="Arial" w:hAnsi="Arial"/>
          <w:sz w:val="22"/>
        </w:rPr>
        <w:tab/>
        <w:t>Past, outstanding, current or pending litigation against the applicant or principals which may pose a liabi</w:t>
      </w:r>
      <w:r w:rsidR="00E84C9B">
        <w:rPr>
          <w:rFonts w:ascii="Arial" w:hAnsi="Arial"/>
          <w:sz w:val="22"/>
        </w:rPr>
        <w:t xml:space="preserve">lity to the proposed project;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(c)</w:t>
      </w:r>
      <w:r>
        <w:rPr>
          <w:rFonts w:ascii="Arial" w:hAnsi="Arial"/>
          <w:sz w:val="22"/>
        </w:rPr>
        <w:tab/>
        <w:t>Judgments against the applicant or principals regarding bankruptcy, loan default, mechanic's lien, tax l</w:t>
      </w:r>
      <w:r w:rsidR="00E84C9B">
        <w:rPr>
          <w:rFonts w:ascii="Arial" w:hAnsi="Arial"/>
          <w:sz w:val="22"/>
        </w:rPr>
        <w:t>iens or non</w:t>
      </w:r>
      <w:r w:rsidR="00E84C9B">
        <w:rPr>
          <w:rFonts w:ascii="Arial" w:hAnsi="Arial"/>
          <w:sz w:val="22"/>
        </w:rPr>
        <w:noBreakHyphen/>
        <w:t xml:space="preserve">payment of bills;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(d)</w:t>
      </w:r>
      <w:r>
        <w:rPr>
          <w:rFonts w:ascii="Arial" w:hAnsi="Arial"/>
          <w:sz w:val="22"/>
        </w:rPr>
        <w:tab/>
        <w:t>Applicant incompetence or inadequate past performance regarding the subcontracting or completion of work, timely completion of projects, or financial wherewithal to un</w:t>
      </w:r>
      <w:r w:rsidR="00E84C9B">
        <w:rPr>
          <w:rFonts w:ascii="Arial" w:hAnsi="Arial"/>
          <w:sz w:val="22"/>
        </w:rPr>
        <w:t xml:space="preserve">dertake the proposed project;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E84C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(e)</w:t>
      </w:r>
      <w:r>
        <w:rPr>
          <w:rFonts w:ascii="Arial" w:hAnsi="Arial"/>
          <w:sz w:val="22"/>
        </w:rPr>
        <w:tab/>
      </w:r>
      <w:r w:rsidR="004D7077">
        <w:rPr>
          <w:rFonts w:ascii="Arial" w:hAnsi="Arial"/>
          <w:sz w:val="22"/>
        </w:rPr>
        <w:t>The p</w:t>
      </w:r>
      <w:r>
        <w:rPr>
          <w:rFonts w:ascii="Arial" w:hAnsi="Arial"/>
          <w:sz w:val="22"/>
        </w:rPr>
        <w:t>roposed proj</w:t>
      </w:r>
      <w:r w:rsidR="00E84C9B">
        <w:rPr>
          <w:rFonts w:ascii="Arial" w:hAnsi="Arial"/>
          <w:sz w:val="22"/>
        </w:rPr>
        <w:t xml:space="preserve">ect does not qualify for 9% </w:t>
      </w:r>
      <w:r w:rsidR="000D6D92">
        <w:rPr>
          <w:rFonts w:ascii="Arial" w:hAnsi="Arial"/>
          <w:sz w:val="22"/>
        </w:rPr>
        <w:t>HTC pursuant</w:t>
      </w:r>
      <w:r>
        <w:rPr>
          <w:rFonts w:ascii="Arial" w:hAnsi="Arial"/>
          <w:sz w:val="22"/>
        </w:rPr>
        <w:t xml:space="preserve"> to Section 42 of the Code</w:t>
      </w:r>
      <w:r w:rsidR="00E84C9B">
        <w:rPr>
          <w:rFonts w:ascii="Arial" w:hAnsi="Arial"/>
          <w:sz w:val="22"/>
        </w:rPr>
        <w:t xml:space="preserve">; </w:t>
      </w:r>
    </w:p>
    <w:p w:rsidR="00E84C9B" w:rsidRDefault="00E84C9B" w:rsidP="00E84C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(f)</w:t>
      </w:r>
      <w:r>
        <w:rPr>
          <w:rFonts w:ascii="Arial" w:hAnsi="Arial"/>
          <w:sz w:val="22"/>
        </w:rPr>
        <w:tab/>
        <w:t xml:space="preserve">The </w:t>
      </w:r>
      <w:r w:rsidR="00E84C9B">
        <w:rPr>
          <w:rFonts w:ascii="Arial" w:hAnsi="Arial"/>
          <w:sz w:val="22"/>
        </w:rPr>
        <w:t xml:space="preserve">proposed </w:t>
      </w:r>
      <w:r>
        <w:rPr>
          <w:rFonts w:ascii="Arial" w:hAnsi="Arial"/>
          <w:sz w:val="22"/>
        </w:rPr>
        <w:t>proj</w:t>
      </w:r>
      <w:r w:rsidR="00F537F8">
        <w:rPr>
          <w:rFonts w:ascii="Arial" w:hAnsi="Arial"/>
          <w:sz w:val="22"/>
        </w:rPr>
        <w:t xml:space="preserve">ect does not qualify for 9% </w:t>
      </w:r>
      <w:r w:rsidR="00E84C9B">
        <w:rPr>
          <w:rFonts w:ascii="Arial" w:hAnsi="Arial"/>
          <w:sz w:val="22"/>
        </w:rPr>
        <w:t xml:space="preserve">HTC </w:t>
      </w:r>
      <w:r>
        <w:rPr>
          <w:rFonts w:ascii="Arial" w:hAnsi="Arial"/>
          <w:sz w:val="22"/>
        </w:rPr>
        <w:t xml:space="preserve">under the applicable priority selection policies and procedures described in this Procedural Manual;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E429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r>
        <w:rPr>
          <w:rFonts w:ascii="Arial" w:hAnsi="Arial"/>
          <w:sz w:val="22"/>
        </w:rPr>
        <w:t>(g)</w:t>
      </w:r>
      <w:r>
        <w:rPr>
          <w:rFonts w:ascii="Arial" w:hAnsi="Arial"/>
          <w:sz w:val="22"/>
        </w:rPr>
        <w:tab/>
        <w:t xml:space="preserve">The </w:t>
      </w:r>
      <w:r w:rsidR="00E84C9B">
        <w:rPr>
          <w:rFonts w:ascii="Arial" w:hAnsi="Arial"/>
          <w:sz w:val="22"/>
        </w:rPr>
        <w:t xml:space="preserve">proposed </w:t>
      </w:r>
      <w:r>
        <w:rPr>
          <w:rFonts w:ascii="Arial" w:hAnsi="Arial"/>
          <w:sz w:val="22"/>
        </w:rPr>
        <w:t>project does not meet th</w:t>
      </w:r>
      <w:r w:rsidR="00E84C9B">
        <w:rPr>
          <w:rFonts w:ascii="Arial" w:hAnsi="Arial"/>
          <w:sz w:val="22"/>
        </w:rPr>
        <w:t xml:space="preserve">e minimum threshold </w:t>
      </w:r>
    </w:p>
    <w:p w:rsidR="005F6082" w:rsidRDefault="005E42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r>
        <w:rPr>
          <w:rFonts w:ascii="Arial" w:hAnsi="Arial"/>
          <w:sz w:val="22"/>
        </w:rPr>
        <w:t xml:space="preserve">           </w:t>
      </w:r>
      <w:r w:rsidR="00E84C9B">
        <w:rPr>
          <w:rFonts w:ascii="Arial" w:hAnsi="Arial"/>
          <w:sz w:val="22"/>
        </w:rPr>
        <w:t xml:space="preserve">criteria; </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(h)</w:t>
      </w:r>
      <w:r>
        <w:rPr>
          <w:rFonts w:ascii="Arial" w:hAnsi="Arial"/>
          <w:sz w:val="22"/>
        </w:rPr>
        <w:tab/>
        <w:t>The HRA or Minneapolis Council determines that significant comments by the Mayor or Neighborhood Group or Citizen Participation District are not adequa</w:t>
      </w:r>
      <w:r w:rsidR="00E84C9B">
        <w:rPr>
          <w:rFonts w:ascii="Arial" w:hAnsi="Arial"/>
          <w:sz w:val="22"/>
        </w:rPr>
        <w:t>tely addressed by the developer;</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F537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(i)</w:t>
      </w:r>
      <w:r>
        <w:rPr>
          <w:rFonts w:ascii="Arial" w:hAnsi="Arial"/>
          <w:sz w:val="22"/>
        </w:rPr>
        <w:tab/>
        <w:t xml:space="preserve">Available 9% </w:t>
      </w:r>
      <w:r w:rsidR="00E84C9B">
        <w:rPr>
          <w:rFonts w:ascii="Arial" w:hAnsi="Arial"/>
          <w:sz w:val="22"/>
        </w:rPr>
        <w:t xml:space="preserve">HTC </w:t>
      </w:r>
      <w:r w:rsidR="005F6082">
        <w:rPr>
          <w:rFonts w:ascii="Arial" w:hAnsi="Arial"/>
          <w:sz w:val="22"/>
        </w:rPr>
        <w:t>have been committed or allocated to other pr</w:t>
      </w:r>
      <w:r w:rsidR="00E84C9B">
        <w:rPr>
          <w:rFonts w:ascii="Arial" w:hAnsi="Arial"/>
          <w:sz w:val="22"/>
        </w:rPr>
        <w:t xml:space="preserve">ojects for the respective 9% </w:t>
      </w:r>
      <w:r w:rsidR="000D6D92">
        <w:rPr>
          <w:rFonts w:ascii="Arial" w:hAnsi="Arial"/>
          <w:sz w:val="22"/>
        </w:rPr>
        <w:t>HTC allocation</w:t>
      </w:r>
      <w:r w:rsidR="00E84C9B">
        <w:rPr>
          <w:rFonts w:ascii="Arial" w:hAnsi="Arial"/>
          <w:sz w:val="22"/>
        </w:rPr>
        <w:t xml:space="preserve"> year</w:t>
      </w:r>
      <w:r w:rsidR="00846F56">
        <w:rPr>
          <w:rFonts w:ascii="Arial" w:hAnsi="Arial"/>
          <w:sz w:val="22"/>
        </w:rPr>
        <w:t>;</w:t>
      </w:r>
      <w:r w:rsidR="00E84C9B">
        <w:rPr>
          <w:rFonts w:ascii="Arial" w:hAnsi="Arial"/>
          <w:sz w:val="22"/>
        </w:rPr>
        <w:t xml:space="preserve"> or</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(j)</w:t>
      </w:r>
      <w:r>
        <w:rPr>
          <w:rFonts w:ascii="Arial" w:hAnsi="Arial"/>
          <w:sz w:val="22"/>
        </w:rPr>
        <w:tab/>
        <w:t>The proposed project costs exceed current comparable projects and are unreasonable.</w:t>
      </w:r>
    </w:p>
    <w:p w:rsidR="005F6082" w:rsidRDefault="005F60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i/>
          <w:sz w:val="22"/>
        </w:rPr>
      </w:pPr>
      <w:r>
        <w:rPr>
          <w:rFonts w:ascii="Arial" w:hAnsi="Arial"/>
          <w:i/>
          <w:sz w:val="22"/>
        </w:rPr>
        <w:t xml:space="preserve">A </w:t>
      </w:r>
      <w:r w:rsidR="001A6D81">
        <w:rPr>
          <w:rFonts w:ascii="Arial" w:hAnsi="Arial"/>
          <w:i/>
          <w:sz w:val="22"/>
        </w:rPr>
        <w:t>R</w:t>
      </w:r>
      <w:r w:rsidR="00846F56">
        <w:rPr>
          <w:rFonts w:ascii="Arial" w:hAnsi="Arial"/>
          <w:i/>
          <w:sz w:val="22"/>
        </w:rPr>
        <w:t>eservation</w:t>
      </w:r>
      <w:r>
        <w:rPr>
          <w:rFonts w:ascii="Arial" w:hAnsi="Arial"/>
          <w:i/>
          <w:sz w:val="22"/>
        </w:rPr>
        <w:t xml:space="preserve"> may be revoked at any time after issuance for the reasons set forth in clause (a) through (j) above.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pStyle w:val="BodyTextIndent2"/>
      </w:pPr>
      <w:r>
        <w:t>(5)</w:t>
      </w:r>
      <w:r w:rsidR="00627332">
        <w:tab/>
        <w:t xml:space="preserve">A written explanation for any Reservation </w:t>
      </w:r>
      <w:r w:rsidR="005F6082">
        <w:t xml:space="preserve">of </w:t>
      </w:r>
      <w:r w:rsidR="00E84C9B">
        <w:t xml:space="preserve">9% </w:t>
      </w:r>
      <w:r w:rsidR="000D6D92">
        <w:t>HTC that</w:t>
      </w:r>
      <w:r w:rsidR="005F6082">
        <w:t xml:space="preserve"> is not </w:t>
      </w:r>
      <w:r w:rsidR="00627332">
        <w:t>awarded</w:t>
      </w:r>
      <w:r w:rsidR="005F6082">
        <w:t xml:space="preserve"> </w:t>
      </w:r>
      <w:r w:rsidR="005F6082">
        <w:lastRenderedPageBreak/>
        <w:t xml:space="preserve">with the established priorities and selection criteria </w:t>
      </w:r>
      <w:r w:rsidR="00627332">
        <w:t xml:space="preserve">set forth in the </w:t>
      </w:r>
      <w:r w:rsidR="00F537F8">
        <w:t xml:space="preserve">QAP </w:t>
      </w:r>
      <w:r w:rsidR="005F6082">
        <w:t>will be made available to the general public.</w:t>
      </w:r>
    </w:p>
    <w:p w:rsidR="005F6082" w:rsidRPr="00E03091" w:rsidRDefault="0033248F" w:rsidP="00676FB1">
      <w:pPr>
        <w:pStyle w:val="Heading2"/>
        <w:spacing w:after="0"/>
        <w:ind w:left="720"/>
        <w:rPr>
          <w:rFonts w:ascii="Arial" w:hAnsi="Arial"/>
          <w:i w:val="0"/>
          <w:sz w:val="22"/>
        </w:rPr>
      </w:pPr>
      <w:bookmarkStart w:id="16" w:name="_Toc511902995"/>
      <w:r w:rsidRPr="00922918">
        <w:rPr>
          <w:rFonts w:ascii="Arial" w:hAnsi="Arial"/>
          <w:i w:val="0"/>
          <w:sz w:val="22"/>
        </w:rPr>
        <w:t>M</w:t>
      </w:r>
      <w:r w:rsidR="00922918" w:rsidRPr="00922918">
        <w:rPr>
          <w:rFonts w:ascii="Arial" w:hAnsi="Arial"/>
          <w:i w:val="0"/>
          <w:sz w:val="22"/>
        </w:rPr>
        <w:t>.</w:t>
      </w:r>
      <w:r w:rsidR="005F6082" w:rsidRPr="00922918">
        <w:rPr>
          <w:rFonts w:ascii="Arial" w:hAnsi="Arial"/>
          <w:i w:val="0"/>
          <w:sz w:val="22"/>
        </w:rPr>
        <w:tab/>
      </w:r>
      <w:r w:rsidR="005F6082" w:rsidRPr="00E03091">
        <w:rPr>
          <w:rFonts w:ascii="Arial" w:hAnsi="Arial"/>
          <w:i w:val="0"/>
          <w:sz w:val="22"/>
        </w:rPr>
        <w:t>Administration Errors</w:t>
      </w:r>
      <w:r w:rsidR="005F6082" w:rsidRPr="00E03091">
        <w:rPr>
          <w:rFonts w:ascii="Arial" w:hAnsi="Arial"/>
          <w:i w:val="0"/>
          <w:sz w:val="22"/>
        </w:rPr>
        <w:fldChar w:fldCharType="begin"/>
      </w:r>
      <w:r w:rsidR="005F6082" w:rsidRPr="00E03091">
        <w:rPr>
          <w:rFonts w:ascii="Arial" w:hAnsi="Arial"/>
          <w:i w:val="0"/>
          <w:sz w:val="22"/>
        </w:rPr>
        <w:instrText>tc \l2 "L.</w:instrText>
      </w:r>
      <w:r w:rsidR="005F6082" w:rsidRPr="00E03091">
        <w:rPr>
          <w:rFonts w:ascii="Arial" w:hAnsi="Arial"/>
          <w:i w:val="0"/>
          <w:sz w:val="22"/>
        </w:rPr>
        <w:tab/>
      </w:r>
      <w:r w:rsidR="005F6082" w:rsidRPr="00E03091">
        <w:rPr>
          <w:rFonts w:ascii="Arial" w:hAnsi="Arial"/>
          <w:i w:val="0"/>
          <w:sz w:val="22"/>
        </w:rPr>
        <w:tab/>
        <w:instrText>Administration Errors</w:instrText>
      </w:r>
      <w:r w:rsidR="005F6082" w:rsidRPr="00E03091">
        <w:rPr>
          <w:rFonts w:ascii="Arial" w:hAnsi="Arial"/>
          <w:i w:val="0"/>
          <w:sz w:val="22"/>
        </w:rPr>
        <w:fldChar w:fldCharType="end"/>
      </w:r>
      <w:bookmarkEnd w:id="16"/>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Notification of </w:t>
      </w:r>
      <w:r w:rsidR="00F537F8">
        <w:rPr>
          <w:rFonts w:ascii="Arial" w:hAnsi="Arial"/>
          <w:sz w:val="22"/>
        </w:rPr>
        <w:t xml:space="preserve">9% </w:t>
      </w:r>
      <w:r w:rsidR="00E84C9B">
        <w:rPr>
          <w:rFonts w:ascii="Arial" w:hAnsi="Arial"/>
          <w:sz w:val="22"/>
        </w:rPr>
        <w:t xml:space="preserve">HTC </w:t>
      </w:r>
      <w:r w:rsidR="00846F56">
        <w:rPr>
          <w:rFonts w:ascii="Arial" w:hAnsi="Arial"/>
          <w:sz w:val="22"/>
        </w:rPr>
        <w:t>R</w:t>
      </w:r>
      <w:r>
        <w:rPr>
          <w:rFonts w:ascii="Arial" w:hAnsi="Arial"/>
          <w:sz w:val="22"/>
        </w:rPr>
        <w:t xml:space="preserve">eservation or denial will be in the form of a reservation selection or rejection letter.  If the applicant believes that </w:t>
      </w:r>
      <w:r w:rsidR="00350A65">
        <w:rPr>
          <w:rFonts w:ascii="Arial" w:hAnsi="Arial"/>
          <w:sz w:val="22"/>
        </w:rPr>
        <w:t>CPED</w:t>
      </w:r>
      <w:r>
        <w:rPr>
          <w:rFonts w:ascii="Arial" w:hAnsi="Arial"/>
          <w:sz w:val="22"/>
        </w:rPr>
        <w:t xml:space="preserve"> or HRA has misinterpreted, was not aware of, or miscalculated </w:t>
      </w:r>
      <w:r w:rsidR="00627332">
        <w:rPr>
          <w:rFonts w:ascii="Arial" w:hAnsi="Arial"/>
          <w:sz w:val="22"/>
        </w:rPr>
        <w:t xml:space="preserve">the </w:t>
      </w:r>
      <w:r>
        <w:rPr>
          <w:rFonts w:ascii="Arial" w:hAnsi="Arial"/>
          <w:sz w:val="22"/>
        </w:rPr>
        <w:t>applicant's</w:t>
      </w:r>
      <w:r w:rsidR="00E84C9B">
        <w:rPr>
          <w:rFonts w:ascii="Arial" w:hAnsi="Arial"/>
          <w:sz w:val="22"/>
        </w:rPr>
        <w:t xml:space="preserve"> 9%</w:t>
      </w:r>
      <w:r>
        <w:rPr>
          <w:rFonts w:ascii="Arial" w:hAnsi="Arial"/>
          <w:sz w:val="22"/>
        </w:rPr>
        <w:t xml:space="preserve"> </w:t>
      </w:r>
      <w:r w:rsidR="00600022">
        <w:rPr>
          <w:rFonts w:ascii="Arial" w:hAnsi="Arial" w:cs="Arial"/>
          <w:sz w:val="22"/>
          <w:szCs w:val="22"/>
        </w:rPr>
        <w:t xml:space="preserve">HTC </w:t>
      </w:r>
      <w:r w:rsidR="00627332">
        <w:rPr>
          <w:rFonts w:ascii="Arial" w:hAnsi="Arial"/>
          <w:sz w:val="22"/>
        </w:rPr>
        <w:t xml:space="preserve">Reservation </w:t>
      </w:r>
      <w:r>
        <w:rPr>
          <w:rFonts w:ascii="Arial" w:hAnsi="Arial"/>
          <w:sz w:val="22"/>
        </w:rPr>
        <w:t xml:space="preserve">request at </w:t>
      </w:r>
      <w:r w:rsidR="00846F56">
        <w:rPr>
          <w:rFonts w:ascii="Arial" w:hAnsi="Arial"/>
          <w:sz w:val="22"/>
        </w:rPr>
        <w:t xml:space="preserve">the </w:t>
      </w:r>
      <w:r>
        <w:rPr>
          <w:rFonts w:ascii="Arial" w:hAnsi="Arial"/>
          <w:sz w:val="22"/>
        </w:rPr>
        <w:t>time of application/</w:t>
      </w:r>
      <w:r w:rsidR="00627332">
        <w:rPr>
          <w:rFonts w:ascii="Arial" w:hAnsi="Arial"/>
          <w:sz w:val="22"/>
        </w:rPr>
        <w:t>reservation</w:t>
      </w:r>
      <w:r>
        <w:rPr>
          <w:rFonts w:ascii="Arial" w:hAnsi="Arial"/>
          <w:sz w:val="22"/>
        </w:rPr>
        <w:t xml:space="preserve">, the applicant must submit, in writing, evidence supporting their position within 15 days of </w:t>
      </w:r>
      <w:r w:rsidR="00350A65">
        <w:rPr>
          <w:rFonts w:ascii="Arial" w:hAnsi="Arial"/>
          <w:sz w:val="22"/>
        </w:rPr>
        <w:t>CPED</w:t>
      </w:r>
      <w:r>
        <w:rPr>
          <w:rFonts w:ascii="Arial" w:hAnsi="Arial"/>
          <w:sz w:val="22"/>
        </w:rPr>
        <w:t xml:space="preserve">'s or HRA's notification </w:t>
      </w:r>
      <w:r w:rsidR="00846F56">
        <w:rPr>
          <w:rFonts w:ascii="Arial" w:hAnsi="Arial"/>
          <w:sz w:val="22"/>
        </w:rPr>
        <w:t>letter of application status.  T</w:t>
      </w:r>
      <w:r>
        <w:rPr>
          <w:rFonts w:ascii="Arial" w:hAnsi="Arial"/>
          <w:sz w:val="22"/>
        </w:rPr>
        <w:t xml:space="preserve">he day after the date of </w:t>
      </w:r>
      <w:r w:rsidR="00350A65">
        <w:rPr>
          <w:rFonts w:ascii="Arial" w:hAnsi="Arial"/>
          <w:sz w:val="22"/>
        </w:rPr>
        <w:t>CPED</w:t>
      </w:r>
      <w:r>
        <w:rPr>
          <w:rFonts w:ascii="Arial" w:hAnsi="Arial"/>
          <w:sz w:val="22"/>
        </w:rPr>
        <w:t xml:space="preserve">'s or HRA's </w:t>
      </w:r>
      <w:r w:rsidR="00627332">
        <w:rPr>
          <w:rFonts w:ascii="Arial" w:hAnsi="Arial"/>
          <w:sz w:val="22"/>
        </w:rPr>
        <w:t xml:space="preserve">notification </w:t>
      </w:r>
      <w:r>
        <w:rPr>
          <w:rFonts w:ascii="Arial" w:hAnsi="Arial"/>
          <w:sz w:val="22"/>
        </w:rPr>
        <w:t>letter will be the first day of the 15-day period.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If the applicant's evidence is accepted and the project's selection points are affected, </w:t>
      </w:r>
      <w:r w:rsidR="00350A65">
        <w:rPr>
          <w:rFonts w:ascii="Arial" w:hAnsi="Arial"/>
          <w:sz w:val="22"/>
        </w:rPr>
        <w:t>CPED</w:t>
      </w:r>
      <w:r>
        <w:rPr>
          <w:rFonts w:ascii="Arial" w:hAnsi="Arial"/>
          <w:sz w:val="22"/>
        </w:rPr>
        <w:t xml:space="preserve"> or HRA, as applicable, and the Board will re</w:t>
      </w:r>
      <w:r>
        <w:rPr>
          <w:rFonts w:ascii="Arial" w:hAnsi="Arial"/>
          <w:sz w:val="22"/>
        </w:rPr>
        <w:noBreakHyphen/>
        <w:t xml:space="preserve">rank all projects in the order of ascending selection points.  After an additional 15-day period, </w:t>
      </w:r>
      <w:r w:rsidR="00350A65">
        <w:rPr>
          <w:rFonts w:ascii="Arial" w:hAnsi="Arial"/>
          <w:sz w:val="22"/>
        </w:rPr>
        <w:t>CPED</w:t>
      </w:r>
      <w:r>
        <w:rPr>
          <w:rFonts w:ascii="Arial" w:hAnsi="Arial"/>
          <w:sz w:val="22"/>
        </w:rPr>
        <w:t xml:space="preserve">'s, HRA's and </w:t>
      </w:r>
      <w:r w:rsidR="00627332">
        <w:rPr>
          <w:rFonts w:ascii="Arial" w:hAnsi="Arial"/>
          <w:sz w:val="22"/>
        </w:rPr>
        <w:t xml:space="preserve">the </w:t>
      </w:r>
      <w:r>
        <w:rPr>
          <w:rFonts w:ascii="Arial" w:hAnsi="Arial"/>
          <w:sz w:val="22"/>
        </w:rPr>
        <w:t xml:space="preserve">Board's rankings will stand and </w:t>
      </w:r>
      <w:r w:rsidR="00E84C9B">
        <w:rPr>
          <w:rFonts w:ascii="Arial" w:hAnsi="Arial"/>
          <w:sz w:val="22"/>
        </w:rPr>
        <w:t xml:space="preserve">9% </w:t>
      </w:r>
      <w:r w:rsidR="00BD7596">
        <w:rPr>
          <w:rFonts w:ascii="Arial" w:hAnsi="Arial"/>
          <w:sz w:val="22"/>
        </w:rPr>
        <w:t>HTC</w:t>
      </w:r>
      <w:r w:rsidR="00E84C9B">
        <w:rPr>
          <w:rFonts w:ascii="Arial" w:hAnsi="Arial"/>
          <w:sz w:val="22"/>
        </w:rPr>
        <w:t xml:space="preserve"> </w:t>
      </w:r>
      <w:r w:rsidR="00627332">
        <w:rPr>
          <w:rFonts w:ascii="Arial" w:hAnsi="Arial"/>
          <w:sz w:val="22"/>
        </w:rPr>
        <w:t>R</w:t>
      </w:r>
      <w:r>
        <w:rPr>
          <w:rFonts w:ascii="Arial" w:hAnsi="Arial"/>
          <w:sz w:val="22"/>
        </w:rPr>
        <w:t>eservations for selected projects will be distributed.</w:t>
      </w:r>
    </w:p>
    <w:p w:rsidR="005F6082" w:rsidRPr="00E03091" w:rsidRDefault="0033248F" w:rsidP="003A14BA">
      <w:pPr>
        <w:pStyle w:val="Heading2"/>
        <w:ind w:left="720"/>
        <w:rPr>
          <w:rFonts w:ascii="Arial" w:hAnsi="Arial"/>
          <w:i w:val="0"/>
          <w:sz w:val="22"/>
        </w:rPr>
      </w:pPr>
      <w:bookmarkStart w:id="17" w:name="_Toc511902996"/>
      <w:r w:rsidRPr="00922918">
        <w:rPr>
          <w:rFonts w:ascii="Arial" w:hAnsi="Arial"/>
          <w:i w:val="0"/>
          <w:sz w:val="22"/>
        </w:rPr>
        <w:t>N</w:t>
      </w:r>
      <w:r w:rsidR="00922918" w:rsidRPr="00922918">
        <w:rPr>
          <w:rFonts w:ascii="Arial" w:hAnsi="Arial"/>
          <w:i w:val="0"/>
          <w:sz w:val="22"/>
        </w:rPr>
        <w:t>.</w:t>
      </w:r>
      <w:r w:rsidR="005F6082" w:rsidRPr="00E03091">
        <w:rPr>
          <w:rFonts w:ascii="Arial" w:hAnsi="Arial"/>
          <w:i w:val="0"/>
          <w:sz w:val="22"/>
        </w:rPr>
        <w:tab/>
        <w:t xml:space="preserve">Allocation of Returned </w:t>
      </w:r>
      <w:r w:rsidR="00BB3A6A">
        <w:rPr>
          <w:rFonts w:ascii="Arial" w:hAnsi="Arial"/>
          <w:i w:val="0"/>
          <w:sz w:val="22"/>
        </w:rPr>
        <w:t xml:space="preserve">or Additional </w:t>
      </w:r>
      <w:r w:rsidR="00BB3A6A" w:rsidRPr="00A03895">
        <w:rPr>
          <w:rFonts w:ascii="Arial" w:hAnsi="Arial"/>
          <w:i w:val="0"/>
          <w:sz w:val="22"/>
        </w:rPr>
        <w:t xml:space="preserve">9% </w:t>
      </w:r>
      <w:r w:rsidR="000D6D92" w:rsidRPr="00A03895">
        <w:rPr>
          <w:rFonts w:ascii="Arial" w:hAnsi="Arial"/>
          <w:i w:val="0"/>
          <w:sz w:val="22"/>
        </w:rPr>
        <w:t>HTC</w:t>
      </w:r>
      <w:r w:rsidR="000D6D92">
        <w:rPr>
          <w:rFonts w:ascii="Arial" w:hAnsi="Arial"/>
          <w:sz w:val="22"/>
        </w:rPr>
        <w:t xml:space="preserve"> </w:t>
      </w:r>
      <w:r w:rsidR="000D6D92" w:rsidRPr="00E03091">
        <w:rPr>
          <w:rFonts w:ascii="Arial" w:hAnsi="Arial"/>
          <w:i w:val="0"/>
          <w:sz w:val="22"/>
        </w:rPr>
        <w:t>–</w:t>
      </w:r>
      <w:r w:rsidR="00841FE6" w:rsidRPr="00E03091">
        <w:rPr>
          <w:rFonts w:ascii="Arial" w:hAnsi="Arial"/>
          <w:i w:val="0"/>
          <w:sz w:val="22"/>
        </w:rPr>
        <w:t xml:space="preserve"> Waiting List</w:t>
      </w:r>
      <w:bookmarkEnd w:id="17"/>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841FE6" w:rsidRDefault="00841FE6" w:rsidP="003601B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sidRPr="00EA51A5">
        <w:rPr>
          <w:rFonts w:ascii="Arial" w:hAnsi="Arial" w:cs="Arial"/>
          <w:sz w:val="22"/>
          <w:szCs w:val="22"/>
        </w:rPr>
        <w:t>With respect to the commitment by CPED or HRA, a</w:t>
      </w:r>
      <w:r w:rsidR="00BB3A6A">
        <w:rPr>
          <w:rFonts w:ascii="Arial" w:hAnsi="Arial" w:cs="Arial"/>
          <w:sz w:val="22"/>
          <w:szCs w:val="22"/>
        </w:rPr>
        <w:t xml:space="preserve">nd the Board, of any returned </w:t>
      </w:r>
      <w:r w:rsidR="00F537F8">
        <w:rPr>
          <w:rFonts w:ascii="Arial" w:hAnsi="Arial"/>
          <w:sz w:val="22"/>
        </w:rPr>
        <w:t xml:space="preserve">9% </w:t>
      </w:r>
      <w:r w:rsidR="00BB3A6A">
        <w:rPr>
          <w:rFonts w:ascii="Arial" w:hAnsi="Arial"/>
          <w:sz w:val="22"/>
        </w:rPr>
        <w:t xml:space="preserve">HTC </w:t>
      </w:r>
      <w:r w:rsidRPr="00EA51A5">
        <w:rPr>
          <w:rFonts w:ascii="Arial" w:hAnsi="Arial" w:cs="Arial"/>
          <w:sz w:val="22"/>
          <w:szCs w:val="22"/>
        </w:rPr>
        <w:t xml:space="preserve">or increased </w:t>
      </w:r>
      <w:r w:rsidR="00F537F8">
        <w:rPr>
          <w:rFonts w:ascii="Arial" w:hAnsi="Arial"/>
          <w:sz w:val="22"/>
        </w:rPr>
        <w:t xml:space="preserve">9% </w:t>
      </w:r>
      <w:r w:rsidR="00BB3A6A">
        <w:rPr>
          <w:rFonts w:ascii="Arial" w:hAnsi="Arial"/>
          <w:sz w:val="22"/>
        </w:rPr>
        <w:t xml:space="preserve">HTC </w:t>
      </w:r>
      <w:r w:rsidRPr="00EA51A5">
        <w:rPr>
          <w:rFonts w:ascii="Arial" w:hAnsi="Arial" w:cs="Arial"/>
          <w:sz w:val="22"/>
          <w:szCs w:val="22"/>
        </w:rPr>
        <w:t xml:space="preserve"> allocated to the Board by the </w:t>
      </w:r>
      <w:r w:rsidR="00F537F8">
        <w:rPr>
          <w:rFonts w:ascii="Arial" w:hAnsi="Arial"/>
          <w:sz w:val="22"/>
        </w:rPr>
        <w:t>Minnesota Housing</w:t>
      </w:r>
      <w:r w:rsidRPr="00EA51A5">
        <w:rPr>
          <w:rFonts w:ascii="Arial" w:hAnsi="Arial" w:cs="Arial"/>
          <w:sz w:val="22"/>
          <w:szCs w:val="22"/>
        </w:rPr>
        <w:t>, a waiting list shall be established.  Projects which will be placed on such waiting list will include</w:t>
      </w:r>
      <w:r w:rsidR="00627332">
        <w:rPr>
          <w:rFonts w:ascii="Arial" w:hAnsi="Arial" w:cs="Arial"/>
          <w:sz w:val="22"/>
          <w:szCs w:val="22"/>
        </w:rPr>
        <w:t>:</w:t>
      </w:r>
      <w:r w:rsidRPr="00EA51A5">
        <w:rPr>
          <w:rFonts w:ascii="Arial" w:hAnsi="Arial" w:cs="Arial"/>
          <w:sz w:val="22"/>
          <w:szCs w:val="22"/>
        </w:rPr>
        <w:t xml:space="preserve"> (1) projects which received some, but not all of the </w:t>
      </w:r>
      <w:r w:rsidR="00BB3A6A">
        <w:rPr>
          <w:rFonts w:ascii="Arial" w:hAnsi="Arial" w:cs="Arial"/>
          <w:sz w:val="22"/>
          <w:szCs w:val="22"/>
        </w:rPr>
        <w:t xml:space="preserve">9% </w:t>
      </w:r>
      <w:r w:rsidR="00600022">
        <w:rPr>
          <w:rFonts w:ascii="Arial" w:hAnsi="Arial" w:cs="Arial"/>
          <w:sz w:val="22"/>
          <w:szCs w:val="22"/>
        </w:rPr>
        <w:t>HTC</w:t>
      </w:r>
      <w:r w:rsidRPr="00EA51A5">
        <w:rPr>
          <w:rFonts w:ascii="Arial" w:hAnsi="Arial" w:cs="Arial"/>
          <w:sz w:val="22"/>
          <w:szCs w:val="22"/>
        </w:rPr>
        <w:t xml:space="preserve"> which they requested because of the unavailability of</w:t>
      </w:r>
      <w:r w:rsidR="003601B2">
        <w:rPr>
          <w:rFonts w:ascii="Arial" w:hAnsi="Arial" w:cs="Arial"/>
          <w:sz w:val="22"/>
          <w:szCs w:val="22"/>
        </w:rPr>
        <w:t xml:space="preserve"> </w:t>
      </w:r>
      <w:r w:rsidR="00BB3A6A">
        <w:rPr>
          <w:rFonts w:ascii="Arial" w:hAnsi="Arial" w:cs="Arial"/>
          <w:sz w:val="22"/>
          <w:szCs w:val="22"/>
        </w:rPr>
        <w:t xml:space="preserve">9% </w:t>
      </w:r>
      <w:r w:rsidR="00BD7596">
        <w:rPr>
          <w:rFonts w:ascii="Arial" w:hAnsi="Arial" w:cs="Arial"/>
          <w:sz w:val="22"/>
          <w:szCs w:val="22"/>
        </w:rPr>
        <w:t>HTC</w:t>
      </w:r>
      <w:r w:rsidRPr="00EA51A5">
        <w:rPr>
          <w:rFonts w:ascii="Arial" w:hAnsi="Arial" w:cs="Arial"/>
          <w:sz w:val="22"/>
          <w:szCs w:val="22"/>
        </w:rPr>
        <w:t xml:space="preserve">; (2) projects which received all of the </w:t>
      </w:r>
      <w:r w:rsidR="00BB3A6A">
        <w:rPr>
          <w:rFonts w:ascii="Arial" w:hAnsi="Arial" w:cs="Arial"/>
          <w:sz w:val="22"/>
          <w:szCs w:val="22"/>
        </w:rPr>
        <w:t xml:space="preserve">9% </w:t>
      </w:r>
      <w:r w:rsidR="00600022">
        <w:rPr>
          <w:rFonts w:ascii="Arial" w:hAnsi="Arial"/>
          <w:sz w:val="22"/>
        </w:rPr>
        <w:t>HTC</w:t>
      </w:r>
      <w:r w:rsidRPr="00EA51A5">
        <w:rPr>
          <w:rFonts w:ascii="Arial" w:hAnsi="Arial" w:cs="Arial"/>
          <w:sz w:val="22"/>
          <w:szCs w:val="22"/>
        </w:rPr>
        <w:t xml:space="preserve"> which were requested at the time of initial application, but have de</w:t>
      </w:r>
      <w:r w:rsidR="00BB3A6A">
        <w:rPr>
          <w:rFonts w:ascii="Arial" w:hAnsi="Arial" w:cs="Arial"/>
          <w:sz w:val="22"/>
          <w:szCs w:val="22"/>
        </w:rPr>
        <w:t xml:space="preserve">termined that additional </w:t>
      </w:r>
      <w:r w:rsidR="00F537F8">
        <w:rPr>
          <w:rFonts w:ascii="Arial" w:hAnsi="Arial"/>
          <w:sz w:val="22"/>
        </w:rPr>
        <w:t xml:space="preserve">9% </w:t>
      </w:r>
      <w:r w:rsidR="00BB3A6A">
        <w:rPr>
          <w:rFonts w:ascii="Arial" w:hAnsi="Arial"/>
          <w:sz w:val="22"/>
        </w:rPr>
        <w:t xml:space="preserve">HTC are </w:t>
      </w:r>
      <w:r w:rsidRPr="00EA51A5">
        <w:rPr>
          <w:rFonts w:ascii="Arial" w:hAnsi="Arial" w:cs="Arial"/>
          <w:sz w:val="22"/>
          <w:szCs w:val="22"/>
        </w:rPr>
        <w:t>needed; and (3) project</w:t>
      </w:r>
      <w:r w:rsidR="003601B2">
        <w:rPr>
          <w:rFonts w:ascii="Arial" w:hAnsi="Arial" w:cs="Arial"/>
          <w:sz w:val="22"/>
          <w:szCs w:val="22"/>
        </w:rPr>
        <w:t>s</w:t>
      </w:r>
      <w:r w:rsidRPr="00EA51A5">
        <w:rPr>
          <w:rFonts w:ascii="Arial" w:hAnsi="Arial" w:cs="Arial"/>
          <w:sz w:val="22"/>
          <w:szCs w:val="22"/>
        </w:rPr>
        <w:t xml:space="preserve"> which were eligible to receive </w:t>
      </w:r>
      <w:r w:rsidR="00BB3A6A">
        <w:rPr>
          <w:rFonts w:ascii="Arial" w:hAnsi="Arial" w:cs="Arial"/>
          <w:sz w:val="22"/>
          <w:szCs w:val="22"/>
        </w:rPr>
        <w:t xml:space="preserve">9% </w:t>
      </w:r>
      <w:r w:rsidR="00600022">
        <w:rPr>
          <w:rFonts w:ascii="Arial" w:hAnsi="Arial" w:cs="Arial"/>
          <w:sz w:val="22"/>
          <w:szCs w:val="22"/>
        </w:rPr>
        <w:t>HTC</w:t>
      </w:r>
      <w:r w:rsidRPr="00EA51A5">
        <w:rPr>
          <w:rFonts w:ascii="Arial" w:hAnsi="Arial" w:cs="Arial"/>
          <w:sz w:val="22"/>
          <w:szCs w:val="22"/>
        </w:rPr>
        <w:t>, but did not receive any because of its low selection point ranking.  Projects in the first category will be placed first on the waiting list in the order of each project’s selection point rankings within that group.  Following that, projects in the second group will be placed on the waiting list in the order of each project’s selection point rankings within that group.  Finally, projects in the third group will be placed on the waiting list in the order of each project’s selection point rankings within that group.  Generally, projects will be chosen in the order they are shown on the waiting list; however, depending on the time and funds available, CPED and HRA reserve the right to make modifications to the</w:t>
      </w:r>
      <w:r w:rsidR="00627332">
        <w:rPr>
          <w:rFonts w:ascii="Arial" w:hAnsi="Arial" w:cs="Arial"/>
          <w:sz w:val="22"/>
          <w:szCs w:val="22"/>
        </w:rPr>
        <w:t xml:space="preserve">ir respectively waiting lists.  CPED and </w:t>
      </w:r>
      <w:r w:rsidRPr="00EA51A5">
        <w:rPr>
          <w:rFonts w:ascii="Arial" w:hAnsi="Arial" w:cs="Arial"/>
          <w:sz w:val="22"/>
          <w:szCs w:val="22"/>
        </w:rPr>
        <w:t>HRA may request updated or additional application d</w:t>
      </w:r>
      <w:r w:rsidR="00A41B8D">
        <w:rPr>
          <w:rFonts w:ascii="Arial" w:hAnsi="Arial" w:cs="Arial"/>
          <w:sz w:val="22"/>
          <w:szCs w:val="22"/>
        </w:rPr>
        <w:t xml:space="preserve">ocumentation prior to making a </w:t>
      </w:r>
      <w:r w:rsidR="00A41B8D">
        <w:rPr>
          <w:rFonts w:ascii="Arial" w:hAnsi="Arial"/>
          <w:sz w:val="22"/>
        </w:rPr>
        <w:t xml:space="preserve">Reservation </w:t>
      </w:r>
      <w:r w:rsidRPr="00EA51A5">
        <w:rPr>
          <w:rFonts w:ascii="Arial" w:hAnsi="Arial" w:cs="Arial"/>
          <w:sz w:val="22"/>
          <w:szCs w:val="22"/>
        </w:rPr>
        <w:t>to a project on the waiting list.</w:t>
      </w:r>
    </w:p>
    <w:p w:rsidR="003601B2" w:rsidRDefault="003601B2" w:rsidP="003601B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EF7A35" w:rsidRDefault="00EF7A35" w:rsidP="00EF7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With respect to any returned </w:t>
      </w:r>
      <w:r w:rsidR="00F537F8">
        <w:rPr>
          <w:rFonts w:ascii="Arial" w:hAnsi="Arial"/>
          <w:sz w:val="22"/>
        </w:rPr>
        <w:t xml:space="preserve">9% </w:t>
      </w:r>
      <w:r w:rsidR="00BB3A6A">
        <w:rPr>
          <w:rFonts w:ascii="Arial" w:hAnsi="Arial"/>
          <w:sz w:val="22"/>
        </w:rPr>
        <w:t>HTC</w:t>
      </w:r>
      <w:r>
        <w:rPr>
          <w:rFonts w:ascii="Arial" w:hAnsi="Arial"/>
          <w:sz w:val="22"/>
        </w:rPr>
        <w:t>, CPED</w:t>
      </w:r>
      <w:r w:rsidR="00A41B8D">
        <w:rPr>
          <w:rFonts w:ascii="Arial" w:hAnsi="Arial"/>
          <w:sz w:val="22"/>
        </w:rPr>
        <w:t xml:space="preserve"> and HRA, for their respective C</w:t>
      </w:r>
      <w:r>
        <w:rPr>
          <w:rFonts w:ascii="Arial" w:hAnsi="Arial"/>
          <w:sz w:val="22"/>
        </w:rPr>
        <w:t xml:space="preserve">ity, will maintain eligible applications on waiting lists until the end of the year in </w:t>
      </w:r>
      <w:r w:rsidR="00A41B8D">
        <w:rPr>
          <w:rFonts w:ascii="Arial" w:hAnsi="Arial"/>
          <w:sz w:val="22"/>
        </w:rPr>
        <w:t>which CPED</w:t>
      </w:r>
      <w:r>
        <w:rPr>
          <w:rFonts w:ascii="Arial" w:hAnsi="Arial"/>
          <w:sz w:val="22"/>
        </w:rPr>
        <w:t xml:space="preserve"> </w:t>
      </w:r>
      <w:r w:rsidR="00BB3A6A">
        <w:rPr>
          <w:rFonts w:ascii="Arial" w:hAnsi="Arial"/>
          <w:sz w:val="22"/>
        </w:rPr>
        <w:t xml:space="preserve">or HRA received </w:t>
      </w:r>
      <w:r w:rsidR="00A41B8D">
        <w:rPr>
          <w:rFonts w:ascii="Arial" w:hAnsi="Arial"/>
          <w:sz w:val="22"/>
        </w:rPr>
        <w:t xml:space="preserve">the </w:t>
      </w:r>
      <w:r w:rsidR="00F537F8">
        <w:rPr>
          <w:rFonts w:ascii="Arial" w:hAnsi="Arial"/>
          <w:sz w:val="22"/>
        </w:rPr>
        <w:t xml:space="preserve">returned 9% </w:t>
      </w:r>
      <w:r w:rsidR="00BB3A6A">
        <w:rPr>
          <w:rFonts w:ascii="Arial" w:hAnsi="Arial"/>
          <w:sz w:val="22"/>
        </w:rPr>
        <w:t>HTC</w:t>
      </w:r>
      <w:r>
        <w:rPr>
          <w:rFonts w:ascii="Arial" w:hAnsi="Arial"/>
          <w:sz w:val="22"/>
        </w:rPr>
        <w:t>.  For projects</w:t>
      </w:r>
      <w:r w:rsidR="00A41B8D">
        <w:rPr>
          <w:rFonts w:ascii="Arial" w:hAnsi="Arial"/>
          <w:sz w:val="22"/>
        </w:rPr>
        <w:t xml:space="preserve"> located </w:t>
      </w:r>
      <w:r>
        <w:rPr>
          <w:rFonts w:ascii="Arial" w:hAnsi="Arial"/>
          <w:sz w:val="22"/>
        </w:rPr>
        <w:t>in Minneapolis, the waiting list will follow CPED’s selection</w:t>
      </w:r>
      <w:r w:rsidR="00A41B8D">
        <w:rPr>
          <w:rFonts w:ascii="Arial" w:hAnsi="Arial"/>
          <w:sz w:val="22"/>
        </w:rPr>
        <w:t xml:space="preserve"> point ranking.  For projects located in </w:t>
      </w:r>
      <w:r>
        <w:rPr>
          <w:rFonts w:ascii="Arial" w:hAnsi="Arial"/>
          <w:sz w:val="22"/>
        </w:rPr>
        <w:t xml:space="preserve">Saint Paul, the waiting list will follow HRA’s selection point ranking.  Generally, projects will be chosen in order; however, depending upon time and funds available, CPED or HRA reserves the right </w:t>
      </w:r>
      <w:r w:rsidR="00370DD5">
        <w:rPr>
          <w:rFonts w:ascii="Arial" w:hAnsi="Arial"/>
          <w:sz w:val="22"/>
        </w:rPr>
        <w:t>t</w:t>
      </w:r>
      <w:r>
        <w:rPr>
          <w:rFonts w:ascii="Arial" w:hAnsi="Arial"/>
          <w:sz w:val="22"/>
        </w:rPr>
        <w:t>o make modifications to the</w:t>
      </w:r>
      <w:r w:rsidR="00A41B8D">
        <w:rPr>
          <w:rFonts w:ascii="Arial" w:hAnsi="Arial"/>
          <w:sz w:val="22"/>
        </w:rPr>
        <w:t>ir respective</w:t>
      </w:r>
      <w:r>
        <w:rPr>
          <w:rFonts w:ascii="Arial" w:hAnsi="Arial"/>
          <w:sz w:val="22"/>
        </w:rPr>
        <w:t xml:space="preserve"> waitin</w:t>
      </w:r>
      <w:r w:rsidR="00A41B8D">
        <w:rPr>
          <w:rFonts w:ascii="Arial" w:hAnsi="Arial"/>
          <w:sz w:val="22"/>
        </w:rPr>
        <w:t>g list.  Projects placed on a waiting list will</w:t>
      </w:r>
      <w:r>
        <w:rPr>
          <w:rFonts w:ascii="Arial" w:hAnsi="Arial"/>
          <w:sz w:val="22"/>
        </w:rPr>
        <w:t xml:space="preserve"> be fully evaluated for underwriting, market, and financial viability prior to receiving consideration for a </w:t>
      </w:r>
      <w:r w:rsidR="00A41B8D">
        <w:rPr>
          <w:rFonts w:ascii="Arial" w:hAnsi="Arial"/>
          <w:sz w:val="22"/>
        </w:rPr>
        <w:t>HTC Reservation</w:t>
      </w:r>
      <w:r>
        <w:rPr>
          <w:rFonts w:ascii="Arial" w:hAnsi="Arial"/>
          <w:sz w:val="22"/>
        </w:rPr>
        <w:t xml:space="preserve">. A project must satisfy these reviews to be </w:t>
      </w:r>
      <w:r w:rsidR="00A41B8D">
        <w:rPr>
          <w:rFonts w:ascii="Arial" w:hAnsi="Arial"/>
          <w:sz w:val="22"/>
        </w:rPr>
        <w:lastRenderedPageBreak/>
        <w:t>eligible for selection from</w:t>
      </w:r>
      <w:r w:rsidR="00D647B3">
        <w:rPr>
          <w:rFonts w:ascii="Arial" w:hAnsi="Arial"/>
          <w:sz w:val="22"/>
        </w:rPr>
        <w:t xml:space="preserve"> </w:t>
      </w:r>
      <w:r w:rsidR="00A41B8D">
        <w:rPr>
          <w:rFonts w:ascii="Arial" w:hAnsi="Arial"/>
          <w:sz w:val="22"/>
        </w:rPr>
        <w:t xml:space="preserve">a </w:t>
      </w:r>
      <w:r w:rsidR="00602D0D">
        <w:rPr>
          <w:rFonts w:ascii="Arial" w:hAnsi="Arial"/>
          <w:sz w:val="22"/>
        </w:rPr>
        <w:t>waiting list.  If an A</w:t>
      </w:r>
      <w:r>
        <w:rPr>
          <w:rFonts w:ascii="Arial" w:hAnsi="Arial"/>
          <w:sz w:val="22"/>
        </w:rPr>
        <w:t>pp</w:t>
      </w:r>
      <w:r w:rsidR="00D647B3">
        <w:rPr>
          <w:rFonts w:ascii="Arial" w:hAnsi="Arial"/>
          <w:sz w:val="22"/>
        </w:rPr>
        <w:t>lication is not selected for a R</w:t>
      </w:r>
      <w:r>
        <w:rPr>
          <w:rFonts w:ascii="Arial" w:hAnsi="Arial"/>
          <w:sz w:val="22"/>
        </w:rPr>
        <w:t xml:space="preserve">eservation of </w:t>
      </w:r>
      <w:r w:rsidR="00F537F8">
        <w:rPr>
          <w:rFonts w:ascii="Arial" w:hAnsi="Arial"/>
          <w:sz w:val="22"/>
        </w:rPr>
        <w:t xml:space="preserve">9% </w:t>
      </w:r>
      <w:r w:rsidR="00127A38">
        <w:rPr>
          <w:rFonts w:ascii="Arial" w:hAnsi="Arial"/>
          <w:sz w:val="22"/>
        </w:rPr>
        <w:t xml:space="preserve">HTC </w:t>
      </w:r>
      <w:r>
        <w:rPr>
          <w:rFonts w:ascii="Arial" w:hAnsi="Arial"/>
          <w:sz w:val="22"/>
        </w:rPr>
        <w:t>by the end of the calendar year, there will be no fu</w:t>
      </w:r>
      <w:r w:rsidR="00370DD5">
        <w:rPr>
          <w:rFonts w:ascii="Arial" w:hAnsi="Arial"/>
          <w:sz w:val="22"/>
        </w:rPr>
        <w:t>r</w:t>
      </w:r>
      <w:r>
        <w:rPr>
          <w:rFonts w:ascii="Arial" w:hAnsi="Arial"/>
          <w:sz w:val="22"/>
        </w:rPr>
        <w:t xml:space="preserve">ther consideration. An applicant </w:t>
      </w:r>
      <w:r w:rsidR="00D647B3">
        <w:rPr>
          <w:rFonts w:ascii="Arial" w:hAnsi="Arial"/>
          <w:sz w:val="22"/>
        </w:rPr>
        <w:t xml:space="preserve">currently on a </w:t>
      </w:r>
      <w:r>
        <w:rPr>
          <w:rFonts w:ascii="Arial" w:hAnsi="Arial"/>
          <w:sz w:val="22"/>
        </w:rPr>
        <w:t>waiting lis</w:t>
      </w:r>
      <w:r w:rsidR="00602D0D">
        <w:rPr>
          <w:rFonts w:ascii="Arial" w:hAnsi="Arial"/>
          <w:sz w:val="22"/>
        </w:rPr>
        <w:t>t must submit a completely new A</w:t>
      </w:r>
      <w:r>
        <w:rPr>
          <w:rFonts w:ascii="Arial" w:hAnsi="Arial"/>
          <w:sz w:val="22"/>
        </w:rPr>
        <w:t xml:space="preserve">pplication packet in the next funding round, which is a new </w:t>
      </w:r>
      <w:r w:rsidR="00F537F8">
        <w:rPr>
          <w:rFonts w:ascii="Arial" w:hAnsi="Arial"/>
          <w:sz w:val="22"/>
        </w:rPr>
        <w:t xml:space="preserve">9% </w:t>
      </w:r>
      <w:r w:rsidR="00127A38">
        <w:rPr>
          <w:rFonts w:ascii="Arial" w:hAnsi="Arial"/>
          <w:sz w:val="22"/>
        </w:rPr>
        <w:t xml:space="preserve">HTC </w:t>
      </w:r>
      <w:r>
        <w:rPr>
          <w:rFonts w:ascii="Arial" w:hAnsi="Arial"/>
          <w:sz w:val="22"/>
        </w:rPr>
        <w:t xml:space="preserve">year, to receive consideration for a </w:t>
      </w:r>
      <w:r w:rsidR="00F537F8">
        <w:rPr>
          <w:rFonts w:ascii="Arial" w:hAnsi="Arial"/>
          <w:sz w:val="22"/>
        </w:rPr>
        <w:t xml:space="preserve">9% </w:t>
      </w:r>
      <w:r w:rsidR="00127A38">
        <w:rPr>
          <w:rFonts w:ascii="Arial" w:hAnsi="Arial"/>
          <w:sz w:val="22"/>
        </w:rPr>
        <w:t xml:space="preserve">HTC </w:t>
      </w:r>
      <w:r w:rsidR="00D647B3">
        <w:rPr>
          <w:rFonts w:ascii="Arial" w:hAnsi="Arial"/>
          <w:sz w:val="22"/>
        </w:rPr>
        <w:t>Reservation</w:t>
      </w:r>
      <w:r>
        <w:rPr>
          <w:rFonts w:ascii="Arial" w:hAnsi="Arial"/>
          <w:sz w:val="22"/>
        </w:rPr>
        <w:t xml:space="preserve">. </w:t>
      </w:r>
    </w:p>
    <w:p w:rsidR="005F6082" w:rsidRPr="00E03091" w:rsidRDefault="00397653" w:rsidP="003A14BA">
      <w:pPr>
        <w:pStyle w:val="Heading2"/>
        <w:ind w:left="720"/>
        <w:rPr>
          <w:rFonts w:ascii="Arial" w:hAnsi="Arial"/>
          <w:i w:val="0"/>
          <w:sz w:val="22"/>
        </w:rPr>
      </w:pPr>
      <w:bookmarkStart w:id="18" w:name="_Toc511902997"/>
      <w:r w:rsidRPr="00922918">
        <w:rPr>
          <w:rFonts w:ascii="Arial" w:hAnsi="Arial"/>
          <w:i w:val="0"/>
          <w:sz w:val="22"/>
        </w:rPr>
        <w:t>O</w:t>
      </w:r>
      <w:r w:rsidR="00922918">
        <w:rPr>
          <w:rFonts w:ascii="Arial" w:hAnsi="Arial"/>
          <w:i w:val="0"/>
          <w:sz w:val="22"/>
        </w:rPr>
        <w:t>.</w:t>
      </w:r>
      <w:r w:rsidR="005F6082" w:rsidRPr="00E03091">
        <w:rPr>
          <w:rFonts w:ascii="Arial" w:hAnsi="Arial"/>
          <w:i w:val="0"/>
          <w:sz w:val="22"/>
        </w:rPr>
        <w:tab/>
        <w:t>Carryover Allocations</w:t>
      </w:r>
      <w:r w:rsidR="005F6082" w:rsidRPr="00E03091">
        <w:rPr>
          <w:rFonts w:ascii="Arial" w:hAnsi="Arial"/>
          <w:i w:val="0"/>
          <w:sz w:val="22"/>
        </w:rPr>
        <w:fldChar w:fldCharType="begin"/>
      </w:r>
      <w:r w:rsidR="005F6082" w:rsidRPr="00E03091">
        <w:rPr>
          <w:rFonts w:ascii="Arial" w:hAnsi="Arial"/>
          <w:i w:val="0"/>
          <w:sz w:val="22"/>
        </w:rPr>
        <w:instrText>tc \l2 "N.</w:instrText>
      </w:r>
      <w:r w:rsidR="005F6082" w:rsidRPr="00E03091">
        <w:rPr>
          <w:rFonts w:ascii="Arial" w:hAnsi="Arial"/>
          <w:i w:val="0"/>
          <w:sz w:val="22"/>
        </w:rPr>
        <w:tab/>
      </w:r>
      <w:r w:rsidR="005F6082" w:rsidRPr="00E03091">
        <w:rPr>
          <w:rFonts w:ascii="Arial" w:hAnsi="Arial"/>
          <w:i w:val="0"/>
          <w:sz w:val="22"/>
        </w:rPr>
        <w:tab/>
        <w:instrText>Carryover Allocations</w:instrText>
      </w:r>
      <w:r w:rsidR="005F6082" w:rsidRPr="00E03091">
        <w:rPr>
          <w:rFonts w:ascii="Arial" w:hAnsi="Arial"/>
          <w:i w:val="0"/>
          <w:sz w:val="22"/>
        </w:rPr>
        <w:fldChar w:fldCharType="end"/>
      </w:r>
      <w:bookmarkEnd w:id="18"/>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A2675" w:rsidRDefault="0012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Section 42 of the Co</w:t>
      </w:r>
      <w:r w:rsidR="002A2675">
        <w:rPr>
          <w:rFonts w:ascii="Arial" w:hAnsi="Arial"/>
          <w:sz w:val="22"/>
        </w:rPr>
        <w:t>d</w:t>
      </w:r>
      <w:r>
        <w:rPr>
          <w:rFonts w:ascii="Arial" w:hAnsi="Arial"/>
          <w:sz w:val="22"/>
        </w:rPr>
        <w:t xml:space="preserve">e </w:t>
      </w:r>
      <w:r w:rsidR="005F6082">
        <w:rPr>
          <w:rFonts w:ascii="Arial" w:hAnsi="Arial"/>
          <w:sz w:val="22"/>
        </w:rPr>
        <w:t xml:space="preserve">provides that the Board may </w:t>
      </w:r>
      <w:r>
        <w:rPr>
          <w:rFonts w:ascii="Arial" w:hAnsi="Arial"/>
          <w:sz w:val="22"/>
        </w:rPr>
        <w:t>issue</w:t>
      </w:r>
      <w:r w:rsidR="005F6082">
        <w:rPr>
          <w:rFonts w:ascii="Arial" w:hAnsi="Arial"/>
          <w:sz w:val="22"/>
        </w:rPr>
        <w:t xml:space="preserve"> a carryover allocation to certain qualified </w:t>
      </w:r>
      <w:r w:rsidR="002A2675">
        <w:rPr>
          <w:rFonts w:ascii="Arial" w:hAnsi="Arial"/>
          <w:sz w:val="22"/>
        </w:rPr>
        <w:t>project</w:t>
      </w:r>
      <w:r w:rsidR="005F6082">
        <w:rPr>
          <w:rFonts w:ascii="Arial" w:hAnsi="Arial"/>
          <w:sz w:val="22"/>
        </w:rPr>
        <w:t>s which are to be placed in service no later than December</w:t>
      </w:r>
      <w:r w:rsidR="003601B2">
        <w:rPr>
          <w:rFonts w:ascii="Arial" w:hAnsi="Arial"/>
          <w:sz w:val="22"/>
        </w:rPr>
        <w:t> </w:t>
      </w:r>
      <w:r w:rsidR="005F6082">
        <w:rPr>
          <w:rFonts w:ascii="Arial" w:hAnsi="Arial"/>
          <w:sz w:val="22"/>
        </w:rPr>
        <w:t xml:space="preserve">31 of the </w:t>
      </w:r>
      <w:r w:rsidR="003601B2">
        <w:rPr>
          <w:rFonts w:ascii="Arial" w:hAnsi="Arial"/>
          <w:sz w:val="22"/>
        </w:rPr>
        <w:t>seco</w:t>
      </w:r>
      <w:r w:rsidR="005F6082">
        <w:rPr>
          <w:rFonts w:ascii="Arial" w:hAnsi="Arial"/>
          <w:sz w:val="22"/>
        </w:rPr>
        <w:t xml:space="preserve">nd year after the </w:t>
      </w:r>
      <w:r w:rsidR="00F537F8">
        <w:rPr>
          <w:rFonts w:ascii="Arial" w:hAnsi="Arial"/>
          <w:sz w:val="22"/>
        </w:rPr>
        <w:t xml:space="preserve">9% </w:t>
      </w:r>
      <w:r w:rsidR="002A2675">
        <w:rPr>
          <w:rFonts w:ascii="Arial" w:hAnsi="Arial"/>
          <w:sz w:val="22"/>
        </w:rPr>
        <w:t xml:space="preserve">HTC </w:t>
      </w:r>
      <w:r w:rsidR="005F6082">
        <w:rPr>
          <w:rFonts w:ascii="Arial" w:hAnsi="Arial"/>
          <w:sz w:val="22"/>
        </w:rPr>
        <w:t>reservation</w:t>
      </w:r>
      <w:r w:rsidR="002A2675">
        <w:rPr>
          <w:rFonts w:ascii="Arial" w:hAnsi="Arial"/>
          <w:sz w:val="22"/>
        </w:rPr>
        <w:t xml:space="preserve"> (“Car</w:t>
      </w:r>
      <w:r w:rsidR="00D23ED9">
        <w:rPr>
          <w:rFonts w:ascii="Arial" w:hAnsi="Arial"/>
          <w:sz w:val="22"/>
        </w:rPr>
        <w:t>r</w:t>
      </w:r>
      <w:r w:rsidR="002A2675">
        <w:rPr>
          <w:rFonts w:ascii="Arial" w:hAnsi="Arial"/>
          <w:sz w:val="22"/>
        </w:rPr>
        <w:t>yover Allocation”)</w:t>
      </w:r>
      <w:r w:rsidR="005F6082">
        <w:rPr>
          <w:rFonts w:ascii="Arial" w:hAnsi="Arial"/>
          <w:sz w:val="22"/>
        </w:rPr>
        <w:t xml:space="preserve">. </w:t>
      </w:r>
      <w:r w:rsidR="002A2675">
        <w:rPr>
          <w:rFonts w:ascii="Arial" w:hAnsi="Arial"/>
          <w:sz w:val="22"/>
        </w:rPr>
        <w:t xml:space="preserve">This provision requires that costs in an amount </w:t>
      </w:r>
      <w:r w:rsidR="002A2675" w:rsidRPr="002A2675">
        <w:rPr>
          <w:rFonts w:ascii="Arial" w:hAnsi="Arial"/>
          <w:sz w:val="22"/>
        </w:rPr>
        <w:t>equal to 10% or more of the e</w:t>
      </w:r>
      <w:r w:rsidR="00D647B3">
        <w:rPr>
          <w:rFonts w:ascii="Arial" w:hAnsi="Arial"/>
          <w:sz w:val="22"/>
        </w:rPr>
        <w:t>xpected basis in the project</w:t>
      </w:r>
      <w:r w:rsidR="002A2675" w:rsidRPr="002A2675">
        <w:rPr>
          <w:rFonts w:ascii="Arial" w:hAnsi="Arial"/>
          <w:sz w:val="22"/>
        </w:rPr>
        <w:t xml:space="preserve"> must be incurred within one </w:t>
      </w:r>
      <w:r w:rsidR="00D647B3">
        <w:rPr>
          <w:rFonts w:ascii="Arial" w:hAnsi="Arial"/>
          <w:sz w:val="22"/>
        </w:rPr>
        <w:t xml:space="preserve">(1) </w:t>
      </w:r>
      <w:r w:rsidR="002A2675" w:rsidRPr="002A2675">
        <w:rPr>
          <w:rFonts w:ascii="Arial" w:hAnsi="Arial"/>
          <w:sz w:val="22"/>
        </w:rPr>
        <w:t>year from the date of the Carryover Allocation.</w:t>
      </w:r>
    </w:p>
    <w:p w:rsidR="002A2675" w:rsidRDefault="002A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Pr="00D23ED9" w:rsidRDefault="005F6082" w:rsidP="00D23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To receive a </w:t>
      </w:r>
      <w:r w:rsidR="002A2675">
        <w:rPr>
          <w:rFonts w:ascii="Arial" w:hAnsi="Arial"/>
          <w:sz w:val="22"/>
        </w:rPr>
        <w:t>Carryover A</w:t>
      </w:r>
      <w:r>
        <w:rPr>
          <w:rFonts w:ascii="Arial" w:hAnsi="Arial"/>
          <w:sz w:val="22"/>
        </w:rPr>
        <w:t xml:space="preserve">llocation, the owner must submit three </w:t>
      </w:r>
      <w:r w:rsidR="002A2675">
        <w:rPr>
          <w:rFonts w:ascii="Arial" w:hAnsi="Arial"/>
          <w:sz w:val="22"/>
        </w:rPr>
        <w:t xml:space="preserve">(3) </w:t>
      </w:r>
      <w:r>
        <w:rPr>
          <w:rFonts w:ascii="Arial" w:hAnsi="Arial"/>
          <w:sz w:val="22"/>
        </w:rPr>
        <w:t>copies of a complete</w:t>
      </w:r>
      <w:r w:rsidR="003601B2">
        <w:rPr>
          <w:rFonts w:ascii="Arial" w:hAnsi="Arial"/>
          <w:sz w:val="22"/>
        </w:rPr>
        <w:t>d</w:t>
      </w:r>
      <w:r>
        <w:rPr>
          <w:rFonts w:ascii="Arial" w:hAnsi="Arial"/>
          <w:sz w:val="22"/>
        </w:rPr>
        <w:t xml:space="preserve"> carryover </w:t>
      </w:r>
      <w:r w:rsidR="002A2675">
        <w:rPr>
          <w:rFonts w:ascii="Arial" w:hAnsi="Arial"/>
          <w:sz w:val="22"/>
        </w:rPr>
        <w:t xml:space="preserve">allocation </w:t>
      </w:r>
      <w:r>
        <w:rPr>
          <w:rFonts w:ascii="Arial" w:hAnsi="Arial"/>
          <w:sz w:val="22"/>
        </w:rPr>
        <w:t xml:space="preserve">application package to HRA or </w:t>
      </w:r>
      <w:r w:rsidR="00894290">
        <w:rPr>
          <w:rFonts w:ascii="Arial" w:hAnsi="Arial"/>
          <w:sz w:val="22"/>
        </w:rPr>
        <w:t>CPED</w:t>
      </w:r>
      <w:r>
        <w:rPr>
          <w:rFonts w:ascii="Arial" w:hAnsi="Arial"/>
          <w:sz w:val="22"/>
        </w:rPr>
        <w:t xml:space="preserve"> no later than </w:t>
      </w:r>
      <w:r w:rsidR="002A2675">
        <w:rPr>
          <w:rFonts w:ascii="Arial" w:hAnsi="Arial"/>
          <w:sz w:val="22"/>
        </w:rPr>
        <w:t>Nov</w:t>
      </w:r>
      <w:r w:rsidR="00D23ED9">
        <w:rPr>
          <w:rFonts w:ascii="Arial" w:hAnsi="Arial"/>
          <w:sz w:val="22"/>
        </w:rPr>
        <w:t>ember 1, 2019</w:t>
      </w:r>
      <w:r>
        <w:rPr>
          <w:rFonts w:ascii="Arial" w:hAnsi="Arial"/>
          <w:sz w:val="22"/>
        </w:rPr>
        <w:t xml:space="preserve">.  </w:t>
      </w:r>
      <w:r w:rsidR="00D23ED9" w:rsidRPr="00D647B3">
        <w:rPr>
          <w:rFonts w:ascii="Arial" w:hAnsi="Arial"/>
          <w:sz w:val="22"/>
        </w:rPr>
        <w:t>Additional C</w:t>
      </w:r>
      <w:r w:rsidRPr="00D647B3">
        <w:rPr>
          <w:rFonts w:ascii="Arial" w:hAnsi="Arial"/>
          <w:sz w:val="22"/>
        </w:rPr>
        <w:t xml:space="preserve">arryover </w:t>
      </w:r>
      <w:r w:rsidR="00D23ED9" w:rsidRPr="00D647B3">
        <w:rPr>
          <w:rFonts w:ascii="Arial" w:hAnsi="Arial"/>
          <w:sz w:val="22"/>
        </w:rPr>
        <w:t xml:space="preserve">Allocation </w:t>
      </w:r>
      <w:r w:rsidRPr="00D647B3">
        <w:rPr>
          <w:rFonts w:ascii="Arial" w:hAnsi="Arial"/>
          <w:sz w:val="22"/>
        </w:rPr>
        <w:t>requirement</w:t>
      </w:r>
      <w:r w:rsidR="00D23ED9" w:rsidRPr="00D647B3">
        <w:rPr>
          <w:rFonts w:ascii="Arial" w:hAnsi="Arial"/>
          <w:sz w:val="22"/>
        </w:rPr>
        <w:t>s are set forth in Section VII.C hereof</w:t>
      </w:r>
      <w:r w:rsidRPr="00D647B3">
        <w:rPr>
          <w:rFonts w:ascii="Arial" w:hAnsi="Arial"/>
          <w:sz w:val="22"/>
        </w:rPr>
        <w:t>.</w:t>
      </w:r>
    </w:p>
    <w:p w:rsidR="005F6082" w:rsidRPr="00E03091" w:rsidRDefault="00397653" w:rsidP="00676FB1">
      <w:pPr>
        <w:pStyle w:val="Heading2"/>
        <w:spacing w:after="0"/>
        <w:ind w:left="720"/>
        <w:rPr>
          <w:rFonts w:ascii="Arial" w:hAnsi="Arial"/>
          <w:i w:val="0"/>
          <w:sz w:val="22"/>
        </w:rPr>
      </w:pPr>
      <w:bookmarkStart w:id="19" w:name="_Toc511902998"/>
      <w:r w:rsidRPr="00922918">
        <w:rPr>
          <w:rFonts w:ascii="Arial" w:hAnsi="Arial"/>
          <w:i w:val="0"/>
          <w:sz w:val="22"/>
        </w:rPr>
        <w:t>P</w:t>
      </w:r>
      <w:r w:rsidR="00922918" w:rsidRPr="00922918">
        <w:rPr>
          <w:rFonts w:ascii="Arial" w:hAnsi="Arial"/>
          <w:i w:val="0"/>
          <w:sz w:val="22"/>
        </w:rPr>
        <w:t>.</w:t>
      </w:r>
      <w:r w:rsidR="005F6082" w:rsidRPr="00E03091">
        <w:rPr>
          <w:rFonts w:ascii="Arial" w:hAnsi="Arial"/>
          <w:i w:val="0"/>
          <w:sz w:val="22"/>
        </w:rPr>
        <w:tab/>
        <w:t>Final Allocations</w:t>
      </w:r>
      <w:r w:rsidR="005F6082" w:rsidRPr="00E03091">
        <w:rPr>
          <w:rFonts w:ascii="Arial" w:hAnsi="Arial"/>
          <w:i w:val="0"/>
          <w:sz w:val="22"/>
        </w:rPr>
        <w:fldChar w:fldCharType="begin"/>
      </w:r>
      <w:r w:rsidR="005F6082" w:rsidRPr="00E03091">
        <w:rPr>
          <w:rFonts w:ascii="Arial" w:hAnsi="Arial"/>
          <w:i w:val="0"/>
          <w:sz w:val="22"/>
        </w:rPr>
        <w:instrText>tc \l2 "</w:instrText>
      </w:r>
      <w:r w:rsidR="005F6082" w:rsidRPr="00E03091">
        <w:rPr>
          <w:rFonts w:ascii="Arial" w:hAnsi="Arial"/>
          <w:i w:val="0"/>
          <w:sz w:val="22"/>
        </w:rPr>
        <w:tab/>
        <w:instrText>Final Allocations</w:instrText>
      </w:r>
      <w:r w:rsidR="005F6082" w:rsidRPr="00E03091">
        <w:rPr>
          <w:rFonts w:ascii="Arial" w:hAnsi="Arial"/>
          <w:i w:val="0"/>
          <w:sz w:val="22"/>
        </w:rPr>
        <w:fldChar w:fldCharType="end"/>
      </w:r>
      <w:bookmarkEnd w:id="19"/>
    </w:p>
    <w:p w:rsidR="00676FB1" w:rsidRDefault="00676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Except for </w:t>
      </w:r>
      <w:r w:rsidR="003601B2">
        <w:rPr>
          <w:rFonts w:ascii="Arial" w:hAnsi="Arial"/>
          <w:sz w:val="22"/>
        </w:rPr>
        <w:t>C</w:t>
      </w:r>
      <w:r>
        <w:rPr>
          <w:rFonts w:ascii="Arial" w:hAnsi="Arial"/>
          <w:sz w:val="22"/>
        </w:rPr>
        <w:t xml:space="preserve">arryover </w:t>
      </w:r>
      <w:r w:rsidR="003601B2">
        <w:rPr>
          <w:rFonts w:ascii="Arial" w:hAnsi="Arial"/>
          <w:sz w:val="22"/>
        </w:rPr>
        <w:t>A</w:t>
      </w:r>
      <w:r>
        <w:rPr>
          <w:rFonts w:ascii="Arial" w:hAnsi="Arial"/>
          <w:sz w:val="22"/>
        </w:rPr>
        <w:t>llocations, no allocation will be made until a</w:t>
      </w:r>
      <w:r w:rsidR="00BD4AE9">
        <w:rPr>
          <w:rFonts w:ascii="Arial" w:hAnsi="Arial"/>
          <w:sz w:val="22"/>
        </w:rPr>
        <w:t xml:space="preserve"> </w:t>
      </w:r>
      <w:r>
        <w:rPr>
          <w:rFonts w:ascii="Arial" w:hAnsi="Arial"/>
          <w:sz w:val="22"/>
        </w:rPr>
        <w:t xml:space="preserve">project is placed in service, and the proper documentation and fees have been </w:t>
      </w:r>
      <w:r w:rsidR="00BD4AE9">
        <w:rPr>
          <w:rFonts w:ascii="Arial" w:hAnsi="Arial"/>
          <w:sz w:val="22"/>
        </w:rPr>
        <w:t>submitted</w:t>
      </w:r>
      <w:r w:rsidR="00D647B3">
        <w:rPr>
          <w:rFonts w:ascii="Arial" w:hAnsi="Arial"/>
          <w:sz w:val="22"/>
        </w:rPr>
        <w:t xml:space="preserve"> to the Board</w:t>
      </w:r>
      <w:r>
        <w:rPr>
          <w:rFonts w:ascii="Arial" w:hAnsi="Arial"/>
          <w:sz w:val="22"/>
        </w:rPr>
        <w:t xml:space="preserve">. </w:t>
      </w:r>
      <w:r w:rsidR="003601B2">
        <w:rPr>
          <w:rFonts w:ascii="Arial" w:hAnsi="Arial"/>
          <w:sz w:val="22"/>
        </w:rPr>
        <w:t xml:space="preserve"> Final a</w:t>
      </w:r>
      <w:r>
        <w:rPr>
          <w:rFonts w:ascii="Arial" w:hAnsi="Arial"/>
          <w:sz w:val="22"/>
        </w:rPr>
        <w:t>llocations may be requested</w:t>
      </w:r>
      <w:r w:rsidR="00D647B3">
        <w:rPr>
          <w:rFonts w:ascii="Arial" w:hAnsi="Arial"/>
          <w:sz w:val="22"/>
        </w:rPr>
        <w:t xml:space="preserve"> as soon as a </w:t>
      </w:r>
      <w:r w:rsidR="00BD4AE9">
        <w:rPr>
          <w:rFonts w:ascii="Arial" w:hAnsi="Arial"/>
          <w:sz w:val="22"/>
        </w:rPr>
        <w:t>project</w:t>
      </w:r>
      <w:r>
        <w:rPr>
          <w:rFonts w:ascii="Arial" w:hAnsi="Arial"/>
          <w:sz w:val="22"/>
        </w:rPr>
        <w:t xml:space="preserve"> is placed in service. The Board in its sole </w:t>
      </w:r>
      <w:r w:rsidR="00F0432D">
        <w:rPr>
          <w:rFonts w:ascii="Arial" w:hAnsi="Arial"/>
          <w:sz w:val="22"/>
        </w:rPr>
        <w:t>discretion</w:t>
      </w:r>
      <w:r>
        <w:rPr>
          <w:rFonts w:ascii="Arial" w:hAnsi="Arial"/>
          <w:sz w:val="22"/>
        </w:rPr>
        <w:t xml:space="preserve"> may establish the required deadlines prior to year</w:t>
      </w:r>
      <w:r>
        <w:rPr>
          <w:rFonts w:ascii="Arial" w:hAnsi="Arial"/>
          <w:sz w:val="22"/>
        </w:rPr>
        <w:noBreakHyphen/>
        <w:t>end for final allocation requests in order to permit timely processing of documents.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If an owner of a proje</w:t>
      </w:r>
      <w:r w:rsidR="00BD4AE9">
        <w:rPr>
          <w:rFonts w:ascii="Arial" w:hAnsi="Arial"/>
          <w:sz w:val="22"/>
        </w:rPr>
        <w:t>ct does not intend to obtain a Carryover A</w:t>
      </w:r>
      <w:r>
        <w:rPr>
          <w:rFonts w:ascii="Arial" w:hAnsi="Arial"/>
          <w:sz w:val="22"/>
        </w:rPr>
        <w:t xml:space="preserve">llocation, but instead intends to take a project from </w:t>
      </w:r>
      <w:r w:rsidR="00D647B3">
        <w:rPr>
          <w:rFonts w:ascii="Arial" w:hAnsi="Arial"/>
          <w:sz w:val="22"/>
        </w:rPr>
        <w:t xml:space="preserve">Reservation </w:t>
      </w:r>
      <w:r>
        <w:rPr>
          <w:rFonts w:ascii="Arial" w:hAnsi="Arial"/>
          <w:sz w:val="22"/>
        </w:rPr>
        <w:t xml:space="preserve">directly to placed-in-service status, an allocation via issuance of </w:t>
      </w:r>
      <w:r w:rsidR="00D647B3">
        <w:rPr>
          <w:rFonts w:ascii="Arial" w:hAnsi="Arial"/>
          <w:sz w:val="22"/>
        </w:rPr>
        <w:t xml:space="preserve">Form </w:t>
      </w:r>
      <w:r>
        <w:rPr>
          <w:rFonts w:ascii="Arial" w:hAnsi="Arial"/>
          <w:sz w:val="22"/>
        </w:rPr>
        <w:t xml:space="preserve">8609 must be obtained prior to year-end of the </w:t>
      </w:r>
      <w:r w:rsidR="001A6D81">
        <w:rPr>
          <w:rFonts w:ascii="Arial" w:hAnsi="Arial"/>
          <w:sz w:val="22"/>
        </w:rPr>
        <w:t xml:space="preserve">year </w:t>
      </w:r>
      <w:r w:rsidR="00D647B3">
        <w:rPr>
          <w:rFonts w:ascii="Arial" w:hAnsi="Arial"/>
          <w:sz w:val="22"/>
        </w:rPr>
        <w:t>in which the R</w:t>
      </w:r>
      <w:r>
        <w:rPr>
          <w:rFonts w:ascii="Arial" w:hAnsi="Arial"/>
          <w:sz w:val="22"/>
        </w:rPr>
        <w:t xml:space="preserve">eservation was issued.  The </w:t>
      </w:r>
      <w:r w:rsidR="00BD4AE9">
        <w:rPr>
          <w:rFonts w:ascii="Arial" w:hAnsi="Arial"/>
          <w:sz w:val="22"/>
        </w:rPr>
        <w:t xml:space="preserve">HTC </w:t>
      </w:r>
      <w:r w:rsidR="00602D0D">
        <w:rPr>
          <w:rFonts w:ascii="Arial" w:hAnsi="Arial"/>
          <w:sz w:val="22"/>
        </w:rPr>
        <w:t>a</w:t>
      </w:r>
      <w:r>
        <w:rPr>
          <w:rFonts w:ascii="Arial" w:hAnsi="Arial"/>
          <w:sz w:val="22"/>
        </w:rPr>
        <w:t xml:space="preserve">pplication for issuance of </w:t>
      </w:r>
      <w:r w:rsidR="00D647B3">
        <w:rPr>
          <w:rFonts w:ascii="Arial" w:hAnsi="Arial"/>
          <w:sz w:val="22"/>
        </w:rPr>
        <w:t>Form</w:t>
      </w:r>
      <w:r>
        <w:rPr>
          <w:rFonts w:ascii="Arial" w:hAnsi="Arial"/>
          <w:sz w:val="22"/>
        </w:rPr>
        <w:t xml:space="preserve"> 8609's must be submitted to </w:t>
      </w:r>
      <w:r w:rsidR="00F537F8">
        <w:rPr>
          <w:rFonts w:ascii="Arial" w:hAnsi="Arial"/>
          <w:sz w:val="22"/>
        </w:rPr>
        <w:t xml:space="preserve">Minnesota Housing </w:t>
      </w:r>
      <w:r w:rsidR="00D647B3">
        <w:rPr>
          <w:rFonts w:ascii="Arial" w:hAnsi="Arial"/>
          <w:sz w:val="22"/>
        </w:rPr>
        <w:t xml:space="preserve">on or before November </w:t>
      </w:r>
      <w:r w:rsidR="00E73405">
        <w:rPr>
          <w:rFonts w:ascii="Arial" w:hAnsi="Arial"/>
          <w:sz w:val="22"/>
        </w:rPr>
        <w:t xml:space="preserve">1 </w:t>
      </w:r>
      <w:r w:rsidR="00D647B3">
        <w:rPr>
          <w:rFonts w:ascii="Arial" w:hAnsi="Arial"/>
          <w:sz w:val="22"/>
        </w:rPr>
        <w:t>for the year in</w:t>
      </w:r>
      <w:r w:rsidR="00E73405">
        <w:rPr>
          <w:rFonts w:ascii="Arial" w:hAnsi="Arial"/>
          <w:sz w:val="22"/>
        </w:rPr>
        <w:t xml:space="preserve"> which the R</w:t>
      </w:r>
      <w:r>
        <w:rPr>
          <w:rFonts w:ascii="Arial" w:hAnsi="Arial"/>
          <w:sz w:val="22"/>
        </w:rPr>
        <w:t xml:space="preserve">eservation was issued.  A project that has </w:t>
      </w:r>
      <w:r w:rsidR="00E73405">
        <w:rPr>
          <w:rFonts w:ascii="Arial" w:hAnsi="Arial"/>
          <w:sz w:val="22"/>
        </w:rPr>
        <w:t>not received a Carryover A</w:t>
      </w:r>
      <w:r>
        <w:rPr>
          <w:rFonts w:ascii="Arial" w:hAnsi="Arial"/>
          <w:sz w:val="22"/>
        </w:rPr>
        <w:t>llocation nor has been placed in service before December 31</w:t>
      </w:r>
      <w:r>
        <w:rPr>
          <w:rFonts w:ascii="Arial" w:hAnsi="Arial"/>
          <w:sz w:val="22"/>
          <w:vertAlign w:val="superscript"/>
        </w:rPr>
        <w:t>st</w:t>
      </w:r>
      <w:r>
        <w:rPr>
          <w:rFonts w:ascii="Arial" w:hAnsi="Arial"/>
          <w:sz w:val="22"/>
        </w:rPr>
        <w:t xml:space="preserve"> of the year of </w:t>
      </w:r>
      <w:r w:rsidR="00E73405">
        <w:rPr>
          <w:rFonts w:ascii="Arial" w:hAnsi="Arial"/>
          <w:sz w:val="22"/>
        </w:rPr>
        <w:t xml:space="preserve">Reservation </w:t>
      </w:r>
      <w:r>
        <w:rPr>
          <w:rFonts w:ascii="Arial" w:hAnsi="Arial"/>
          <w:sz w:val="22"/>
        </w:rPr>
        <w:t>will lose i</w:t>
      </w:r>
      <w:r w:rsidR="00E73405">
        <w:rPr>
          <w:rFonts w:ascii="Arial" w:hAnsi="Arial"/>
          <w:sz w:val="22"/>
        </w:rPr>
        <w:t>ts R</w:t>
      </w:r>
      <w:r w:rsidR="00F537F8">
        <w:rPr>
          <w:rFonts w:ascii="Arial" w:hAnsi="Arial"/>
          <w:sz w:val="22"/>
        </w:rPr>
        <w:t xml:space="preserve">eservation of 9% </w:t>
      </w:r>
      <w:r w:rsidR="00BD4AE9">
        <w:rPr>
          <w:rFonts w:ascii="Arial" w:hAnsi="Arial"/>
          <w:sz w:val="22"/>
        </w:rPr>
        <w:t>HTC</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w:t>
      </w:r>
      <w:r w:rsidR="00AC5278">
        <w:rPr>
          <w:rFonts w:ascii="Arial" w:hAnsi="Arial"/>
          <w:sz w:val="22"/>
        </w:rPr>
        <w:t xml:space="preserve">9% </w:t>
      </w:r>
      <w:r w:rsidR="00BD4AE9">
        <w:rPr>
          <w:rFonts w:ascii="Arial" w:hAnsi="Arial"/>
          <w:sz w:val="22"/>
        </w:rPr>
        <w:t xml:space="preserve">HTC </w:t>
      </w:r>
      <w:r>
        <w:rPr>
          <w:rFonts w:ascii="Arial" w:hAnsi="Arial"/>
          <w:sz w:val="22"/>
        </w:rPr>
        <w:t>amount which will be allocated is based on the Board's final determination of the qualified basis for the project and a review of the project co</w:t>
      </w:r>
      <w:r w:rsidR="00BD4AE9">
        <w:rPr>
          <w:rFonts w:ascii="Arial" w:hAnsi="Arial"/>
          <w:sz w:val="22"/>
        </w:rPr>
        <w:t>sts as outlined in Section VII.D, hereof</w:t>
      </w:r>
      <w:r>
        <w:rPr>
          <w:rFonts w:ascii="Arial" w:hAnsi="Arial"/>
          <w:sz w:val="22"/>
        </w:rPr>
        <w:t xml:space="preserve">, which shall in turn be based on a determination made by the </w:t>
      </w:r>
      <w:r w:rsidRPr="00AC5278">
        <w:rPr>
          <w:rFonts w:ascii="Arial" w:hAnsi="Arial"/>
          <w:sz w:val="22"/>
        </w:rPr>
        <w:t>City of Minneapolis</w:t>
      </w:r>
      <w:r w:rsidR="00E73405">
        <w:rPr>
          <w:rFonts w:ascii="Arial" w:hAnsi="Arial"/>
          <w:sz w:val="22"/>
        </w:rPr>
        <w:t xml:space="preserve"> or </w:t>
      </w:r>
      <w:r>
        <w:rPr>
          <w:rFonts w:ascii="Arial" w:hAnsi="Arial"/>
          <w:sz w:val="22"/>
        </w:rPr>
        <w:t xml:space="preserve">HRA, as applicable.  The </w:t>
      </w:r>
      <w:r w:rsidR="00E73405">
        <w:rPr>
          <w:rFonts w:ascii="Arial" w:hAnsi="Arial"/>
          <w:sz w:val="22"/>
        </w:rPr>
        <w:t xml:space="preserve">final </w:t>
      </w:r>
      <w:r>
        <w:rPr>
          <w:rFonts w:ascii="Arial" w:hAnsi="Arial"/>
          <w:sz w:val="22"/>
        </w:rPr>
        <w:t xml:space="preserve">allocation may be reduced to comply with </w:t>
      </w:r>
      <w:r w:rsidR="00E73405">
        <w:rPr>
          <w:rFonts w:ascii="Arial" w:hAnsi="Arial"/>
          <w:sz w:val="22"/>
        </w:rPr>
        <w:t>Section 42</w:t>
      </w:r>
      <w:r w:rsidR="0026193F">
        <w:rPr>
          <w:rFonts w:ascii="Arial" w:hAnsi="Arial"/>
          <w:sz w:val="22"/>
        </w:rPr>
        <w:t xml:space="preserve"> of the Code</w:t>
      </w:r>
      <w:r w:rsidR="00E73405">
        <w:rPr>
          <w:rFonts w:ascii="Arial" w:hAnsi="Arial"/>
          <w:sz w:val="22"/>
        </w:rPr>
        <w:t xml:space="preserve"> </w:t>
      </w:r>
      <w:r>
        <w:rPr>
          <w:rFonts w:ascii="Arial" w:hAnsi="Arial"/>
          <w:sz w:val="22"/>
        </w:rPr>
        <w:t>based on the final review of the project</w:t>
      </w:r>
      <w:r w:rsidR="00E73405">
        <w:rPr>
          <w:rFonts w:ascii="Arial" w:hAnsi="Arial"/>
          <w:sz w:val="22"/>
        </w:rPr>
        <w:t xml:space="preserve"> costs</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Prior to final allocation</w:t>
      </w:r>
      <w:r w:rsidR="00E73405">
        <w:rPr>
          <w:rFonts w:ascii="Arial" w:hAnsi="Arial"/>
          <w:sz w:val="22"/>
        </w:rPr>
        <w:t xml:space="preserve">, the </w:t>
      </w:r>
      <w:r>
        <w:rPr>
          <w:rFonts w:ascii="Arial" w:hAnsi="Arial"/>
          <w:sz w:val="22"/>
        </w:rPr>
        <w:t xml:space="preserve">owner is required to execute and record a Declaration which must be effective for the term of </w:t>
      </w:r>
      <w:r w:rsidR="00445CFB">
        <w:rPr>
          <w:rFonts w:ascii="Arial" w:hAnsi="Arial"/>
          <w:sz w:val="22"/>
        </w:rPr>
        <w:t>the previously agreed upon extended use period</w:t>
      </w:r>
      <w:r w:rsidR="00FA6B75">
        <w:rPr>
          <w:rFonts w:ascii="Arial" w:hAnsi="Arial"/>
          <w:sz w:val="22"/>
        </w:rPr>
        <w:t xml:space="preserve"> binding all parties to comply with Section 42 of the Co</w:t>
      </w:r>
      <w:r w:rsidR="00E73405">
        <w:rPr>
          <w:rFonts w:ascii="Arial" w:hAnsi="Arial"/>
          <w:sz w:val="22"/>
        </w:rPr>
        <w:t>de, Treasury Regulation Section 1.42-</w:t>
      </w:r>
      <w:r w:rsidR="00FA6B75">
        <w:rPr>
          <w:rFonts w:ascii="Arial" w:hAnsi="Arial"/>
          <w:sz w:val="22"/>
        </w:rPr>
        <w:t>5 and any other applicable regulations</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E03091" w:rsidRDefault="00397653" w:rsidP="003A14BA">
      <w:pPr>
        <w:pStyle w:val="Heading2"/>
        <w:ind w:left="720"/>
        <w:rPr>
          <w:rFonts w:ascii="Arial" w:hAnsi="Arial"/>
          <w:i w:val="0"/>
          <w:sz w:val="22"/>
        </w:rPr>
      </w:pPr>
      <w:bookmarkStart w:id="20" w:name="_Toc511902999"/>
      <w:r w:rsidRPr="00922918">
        <w:rPr>
          <w:rFonts w:ascii="Arial" w:hAnsi="Arial"/>
          <w:i w:val="0"/>
          <w:sz w:val="22"/>
        </w:rPr>
        <w:lastRenderedPageBreak/>
        <w:t>Q</w:t>
      </w:r>
      <w:r w:rsidR="00922918" w:rsidRPr="00922918">
        <w:rPr>
          <w:rFonts w:ascii="Arial" w:hAnsi="Arial"/>
          <w:i w:val="0"/>
          <w:sz w:val="22"/>
        </w:rPr>
        <w:t>.</w:t>
      </w:r>
      <w:r w:rsidR="005F6082" w:rsidRPr="00E03091">
        <w:rPr>
          <w:rFonts w:ascii="Arial" w:hAnsi="Arial"/>
          <w:i w:val="0"/>
          <w:sz w:val="22"/>
        </w:rPr>
        <w:tab/>
        <w:t>Monitoring for Compliance</w:t>
      </w:r>
      <w:r w:rsidR="00585A4E">
        <w:rPr>
          <w:rFonts w:ascii="Arial" w:hAnsi="Arial"/>
          <w:i w:val="0"/>
          <w:sz w:val="22"/>
        </w:rPr>
        <w:br/>
      </w:r>
      <w:r w:rsidR="005F6082" w:rsidRPr="00E03091">
        <w:rPr>
          <w:rFonts w:ascii="Arial" w:hAnsi="Arial"/>
          <w:i w:val="0"/>
          <w:sz w:val="22"/>
        </w:rPr>
        <w:fldChar w:fldCharType="begin"/>
      </w:r>
      <w:r w:rsidR="005F6082" w:rsidRPr="00E03091">
        <w:rPr>
          <w:rFonts w:ascii="Arial" w:hAnsi="Arial"/>
          <w:i w:val="0"/>
          <w:sz w:val="22"/>
        </w:rPr>
        <w:instrText>tc \l2 "P.</w:instrText>
      </w:r>
      <w:r w:rsidR="005F6082" w:rsidRPr="00E03091">
        <w:rPr>
          <w:rFonts w:ascii="Arial" w:hAnsi="Arial"/>
          <w:i w:val="0"/>
          <w:sz w:val="22"/>
        </w:rPr>
        <w:tab/>
      </w:r>
      <w:r w:rsidR="005F6082" w:rsidRPr="00E03091">
        <w:rPr>
          <w:rFonts w:ascii="Arial" w:hAnsi="Arial"/>
          <w:i w:val="0"/>
          <w:sz w:val="22"/>
        </w:rPr>
        <w:tab/>
        <w:instrText>Monitoring for Compliance</w:instrText>
      </w:r>
      <w:r w:rsidR="005F6082" w:rsidRPr="00E03091">
        <w:rPr>
          <w:rFonts w:ascii="Arial" w:hAnsi="Arial"/>
          <w:i w:val="0"/>
          <w:sz w:val="22"/>
        </w:rPr>
        <w:fldChar w:fldCharType="end"/>
      </w:r>
      <w:bookmarkEnd w:id="20"/>
    </w:p>
    <w:p w:rsidR="005F6082" w:rsidRDefault="00FA6B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FA6B75">
        <w:rPr>
          <w:rFonts w:ascii="Arial" w:hAnsi="Arial"/>
          <w:sz w:val="22"/>
        </w:rPr>
        <w:t>During the</w:t>
      </w:r>
      <w:r w:rsidR="009E129E">
        <w:rPr>
          <w:rFonts w:ascii="Arial" w:hAnsi="Arial"/>
          <w:sz w:val="22"/>
        </w:rPr>
        <w:t xml:space="preserve"> </w:t>
      </w:r>
      <w:r>
        <w:rPr>
          <w:rFonts w:ascii="Arial" w:hAnsi="Arial"/>
          <w:sz w:val="22"/>
        </w:rPr>
        <w:t>15-year compliance p</w:t>
      </w:r>
      <w:r w:rsidRPr="00FA6B75">
        <w:rPr>
          <w:rFonts w:ascii="Arial" w:hAnsi="Arial"/>
          <w:sz w:val="22"/>
        </w:rPr>
        <w:t>eriod</w:t>
      </w:r>
      <w:r w:rsidR="004F1B32">
        <w:rPr>
          <w:rFonts w:ascii="Arial" w:hAnsi="Arial"/>
          <w:sz w:val="22"/>
        </w:rPr>
        <w:t>,</w:t>
      </w:r>
      <w:r w:rsidRPr="00FA6B75">
        <w:rPr>
          <w:rFonts w:ascii="Arial" w:hAnsi="Arial"/>
          <w:sz w:val="22"/>
        </w:rPr>
        <w:t xml:space="preserve"> </w:t>
      </w:r>
      <w:r>
        <w:rPr>
          <w:rFonts w:ascii="Arial" w:hAnsi="Arial"/>
          <w:sz w:val="22"/>
        </w:rPr>
        <w:t>the Board</w:t>
      </w:r>
      <w:r w:rsidRPr="00FA6B75">
        <w:rPr>
          <w:rFonts w:ascii="Arial" w:hAnsi="Arial"/>
          <w:sz w:val="22"/>
        </w:rPr>
        <w:t xml:space="preserve"> is required to adopt and adhere to compliance monitoring procedures which will: (i) monitor </w:t>
      </w:r>
      <w:r>
        <w:rPr>
          <w:rFonts w:ascii="Arial" w:hAnsi="Arial"/>
          <w:sz w:val="22"/>
        </w:rPr>
        <w:t>projects</w:t>
      </w:r>
      <w:r w:rsidRPr="00FA6B75">
        <w:rPr>
          <w:rFonts w:ascii="Arial" w:hAnsi="Arial"/>
          <w:sz w:val="22"/>
        </w:rPr>
        <w:t xml:space="preserve"> for noncompliance and (ii) notify the IRS of any noncompliance of which </w:t>
      </w:r>
      <w:r>
        <w:rPr>
          <w:rFonts w:ascii="Arial" w:hAnsi="Arial"/>
          <w:sz w:val="22"/>
        </w:rPr>
        <w:t>the Board</w:t>
      </w:r>
      <w:r w:rsidRPr="00FA6B75">
        <w:rPr>
          <w:rFonts w:ascii="Arial" w:hAnsi="Arial"/>
          <w:sz w:val="22"/>
        </w:rPr>
        <w:t xml:space="preserve"> becomes aware of in accordance with Section 42(m) of</w:t>
      </w:r>
      <w:r w:rsidR="004F1B32">
        <w:rPr>
          <w:rFonts w:ascii="Arial" w:hAnsi="Arial"/>
          <w:sz w:val="22"/>
        </w:rPr>
        <w:t xml:space="preserve"> the Code, Treasury Regulation Section</w:t>
      </w:r>
      <w:r w:rsidR="00AC5278">
        <w:rPr>
          <w:rFonts w:ascii="Arial" w:hAnsi="Arial"/>
          <w:sz w:val="22"/>
        </w:rPr>
        <w:t xml:space="preserve"> 1.42-</w:t>
      </w:r>
      <w:r w:rsidRPr="00FA6B75">
        <w:rPr>
          <w:rFonts w:ascii="Arial" w:hAnsi="Arial"/>
          <w:sz w:val="22"/>
        </w:rPr>
        <w:t xml:space="preserve">5 and any other applicable regulations.  </w:t>
      </w:r>
      <w:r w:rsidR="005F6082">
        <w:rPr>
          <w:rFonts w:ascii="Arial" w:hAnsi="Arial"/>
          <w:sz w:val="22"/>
        </w:rPr>
        <w:t xml:space="preserve">The Board </w:t>
      </w:r>
      <w:r w:rsidR="00AC5278">
        <w:rPr>
          <w:rFonts w:ascii="Arial" w:hAnsi="Arial"/>
          <w:sz w:val="22"/>
        </w:rPr>
        <w:t xml:space="preserve">or its Authorized Delegate </w:t>
      </w:r>
      <w:r w:rsidR="005F6082">
        <w:rPr>
          <w:rFonts w:ascii="Arial" w:hAnsi="Arial"/>
          <w:sz w:val="22"/>
        </w:rPr>
        <w:t>shall perform suc</w:t>
      </w:r>
      <w:r w:rsidR="00AC5278">
        <w:rPr>
          <w:rFonts w:ascii="Arial" w:hAnsi="Arial"/>
          <w:sz w:val="22"/>
        </w:rPr>
        <w:t xml:space="preserve">h duties in accordance with the </w:t>
      </w:r>
      <w:r w:rsidR="005F6082" w:rsidRPr="00AC5278">
        <w:rPr>
          <w:rFonts w:ascii="Arial" w:hAnsi="Arial"/>
          <w:b/>
          <w:sz w:val="22"/>
        </w:rPr>
        <w:t>Low income Housing Tax Credit Monitoring Plan</w:t>
      </w:r>
      <w:r w:rsidR="005F6082">
        <w:rPr>
          <w:rFonts w:ascii="Arial" w:hAnsi="Arial"/>
          <w:sz w:val="22"/>
        </w:rPr>
        <w:t>, a copy of which is available upon request from the Board.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5F6082">
        <w:rPr>
          <w:rFonts w:ascii="Arial" w:hAnsi="Arial"/>
          <w:sz w:val="22"/>
        </w:rPr>
        <w:tab/>
      </w:r>
      <w:r w:rsidR="00600022">
        <w:rPr>
          <w:rFonts w:ascii="Arial" w:hAnsi="Arial"/>
          <w:sz w:val="22"/>
        </w:rPr>
        <w:t xml:space="preserve">Annually, </w:t>
      </w:r>
      <w:r w:rsidR="00600022">
        <w:rPr>
          <w:rFonts w:ascii="Arial" w:hAnsi="Arial" w:cs="Arial"/>
          <w:sz w:val="22"/>
          <w:szCs w:val="22"/>
        </w:rPr>
        <w:t xml:space="preserve">HTC </w:t>
      </w:r>
      <w:r w:rsidR="00600022">
        <w:rPr>
          <w:rFonts w:ascii="Arial" w:hAnsi="Arial"/>
          <w:sz w:val="22"/>
        </w:rPr>
        <w:t xml:space="preserve">recipients must </w:t>
      </w:r>
      <w:r w:rsidR="005F6082">
        <w:rPr>
          <w:rFonts w:ascii="Arial" w:hAnsi="Arial"/>
          <w:sz w:val="22"/>
        </w:rPr>
        <w:t>submit an annual certification to the Board in a manner, form, and time established by the Board.  The certification will include, but is not limited to, the number of units set aside, tenant name(s), household information, rents, utility allowance or cost, amount and sources of income, and unit information.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t xml:space="preserve">The Board will conduct its first </w:t>
      </w:r>
      <w:r w:rsidR="00FA6B75">
        <w:rPr>
          <w:rFonts w:ascii="Arial" w:hAnsi="Arial"/>
          <w:sz w:val="22"/>
        </w:rPr>
        <w:t xml:space="preserve">compliance </w:t>
      </w:r>
      <w:r w:rsidR="005F6082">
        <w:rPr>
          <w:rFonts w:ascii="Arial" w:hAnsi="Arial"/>
          <w:sz w:val="22"/>
        </w:rPr>
        <w:t>monitoring inspection no later than the end of the second year of the</w:t>
      </w:r>
      <w:r w:rsidR="004F1B32">
        <w:rPr>
          <w:rFonts w:ascii="Arial" w:hAnsi="Arial"/>
          <w:sz w:val="22"/>
        </w:rPr>
        <w:t xml:space="preserve"> </w:t>
      </w:r>
      <w:r w:rsidR="00600022">
        <w:rPr>
          <w:rFonts w:ascii="Arial" w:hAnsi="Arial"/>
          <w:sz w:val="22"/>
        </w:rPr>
        <w:t xml:space="preserve">10-year </w:t>
      </w:r>
      <w:r w:rsidR="005F6082">
        <w:rPr>
          <w:rFonts w:ascii="Arial" w:hAnsi="Arial"/>
          <w:sz w:val="22"/>
        </w:rPr>
        <w:t>credit period.  Such inspection will include, but is not limited to, a review of tenant files and physical inspection</w:t>
      </w:r>
      <w:r w:rsidR="00AC5278">
        <w:rPr>
          <w:rFonts w:ascii="Arial" w:hAnsi="Arial"/>
          <w:sz w:val="22"/>
        </w:rPr>
        <w:t xml:space="preserve"> of 20 percent of the HTC</w:t>
      </w:r>
      <w:r w:rsidR="005F6082">
        <w:rPr>
          <w:rFonts w:ascii="Arial" w:hAnsi="Arial"/>
          <w:sz w:val="22"/>
        </w:rPr>
        <w:t xml:space="preserve"> units.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sz w:val="22"/>
        </w:rPr>
      </w:pPr>
    </w:p>
    <w:p w:rsidR="005F6082" w:rsidRDefault="00B9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sidR="005F6082">
        <w:rPr>
          <w:rFonts w:ascii="Arial" w:hAnsi="Arial"/>
          <w:sz w:val="22"/>
        </w:rPr>
        <w:tab/>
        <w:t xml:space="preserve">The owners of at least 50% of all </w:t>
      </w:r>
      <w:r w:rsidR="00536DBA">
        <w:rPr>
          <w:rFonts w:ascii="Arial" w:hAnsi="Arial"/>
          <w:sz w:val="22"/>
        </w:rPr>
        <w:t xml:space="preserve">HTC </w:t>
      </w:r>
      <w:r w:rsidR="005F6082">
        <w:rPr>
          <w:rFonts w:ascii="Arial" w:hAnsi="Arial"/>
          <w:sz w:val="22"/>
        </w:rPr>
        <w:t xml:space="preserve">projects in each of the Cities must submit to </w:t>
      </w:r>
      <w:r w:rsidR="00350A65">
        <w:rPr>
          <w:rFonts w:ascii="Arial" w:hAnsi="Arial"/>
          <w:sz w:val="22"/>
        </w:rPr>
        <w:t>CPED</w:t>
      </w:r>
      <w:r w:rsidR="005F6082">
        <w:rPr>
          <w:rFonts w:ascii="Arial" w:hAnsi="Arial"/>
          <w:sz w:val="22"/>
        </w:rPr>
        <w:t xml:space="preserve"> or to HRA, as applicable, or their</w:t>
      </w:r>
      <w:r w:rsidR="002759FB">
        <w:rPr>
          <w:rFonts w:ascii="Arial" w:hAnsi="Arial"/>
          <w:sz w:val="22"/>
        </w:rPr>
        <w:t xml:space="preserve"> Authorized Delegate</w:t>
      </w:r>
      <w:r w:rsidR="005F6082">
        <w:rPr>
          <w:rFonts w:ascii="Arial" w:hAnsi="Arial"/>
          <w:sz w:val="22"/>
        </w:rPr>
        <w:t>, for compliance review a copy of the annual income certification, the documentation the owner has received to support that certification, and the rent record for each low-income tenant i</w:t>
      </w:r>
      <w:r w:rsidR="00AC5278">
        <w:rPr>
          <w:rFonts w:ascii="Arial" w:hAnsi="Arial"/>
          <w:sz w:val="22"/>
        </w:rPr>
        <w:t>n at least 20 percent of the HTC</w:t>
      </w:r>
      <w:r w:rsidR="005F6082">
        <w:rPr>
          <w:rFonts w:ascii="Arial" w:hAnsi="Arial"/>
          <w:sz w:val="22"/>
        </w:rPr>
        <w:t xml:space="preserve"> units in their projects.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sidR="005F6082">
        <w:rPr>
          <w:rFonts w:ascii="Arial" w:hAnsi="Arial"/>
          <w:sz w:val="22"/>
        </w:rPr>
        <w:tab/>
        <w:t xml:space="preserve">The Board will conduct a compliance inspection of each </w:t>
      </w:r>
      <w:r w:rsidR="00536DBA">
        <w:rPr>
          <w:rFonts w:ascii="Arial" w:hAnsi="Arial"/>
          <w:sz w:val="22"/>
        </w:rPr>
        <w:t>project</w:t>
      </w:r>
      <w:r w:rsidR="005F6082">
        <w:rPr>
          <w:rFonts w:ascii="Arial" w:hAnsi="Arial"/>
          <w:sz w:val="22"/>
        </w:rPr>
        <w:t xml:space="preserve"> at least once every three </w:t>
      </w:r>
      <w:r w:rsidR="00536DBA">
        <w:rPr>
          <w:rFonts w:ascii="Arial" w:hAnsi="Arial"/>
          <w:sz w:val="22"/>
        </w:rPr>
        <w:t xml:space="preserve">(3) </w:t>
      </w:r>
      <w:r w:rsidR="005F6082">
        <w:rPr>
          <w:rFonts w:ascii="Arial" w:hAnsi="Arial"/>
          <w:sz w:val="22"/>
        </w:rPr>
        <w:t>years.  Such inspection</w:t>
      </w:r>
      <w:r w:rsidR="00536DBA">
        <w:rPr>
          <w:rFonts w:ascii="Arial" w:hAnsi="Arial"/>
          <w:sz w:val="22"/>
        </w:rPr>
        <w:t xml:space="preserve">s will include, but are </w:t>
      </w:r>
      <w:r w:rsidR="005F6082">
        <w:rPr>
          <w:rFonts w:ascii="Arial" w:hAnsi="Arial"/>
          <w:sz w:val="22"/>
        </w:rPr>
        <w:t xml:space="preserve">not limited to, a review of tenant files and physical inspection of </w:t>
      </w:r>
      <w:r w:rsidR="00536DBA">
        <w:rPr>
          <w:rFonts w:ascii="Arial" w:hAnsi="Arial"/>
          <w:sz w:val="22"/>
        </w:rPr>
        <w:t xml:space="preserve">at least </w:t>
      </w:r>
      <w:r w:rsidR="00F532C1">
        <w:rPr>
          <w:rFonts w:ascii="Arial" w:hAnsi="Arial"/>
          <w:sz w:val="22"/>
        </w:rPr>
        <w:t>20 percent of the HTC</w:t>
      </w:r>
      <w:r w:rsidR="005F6082">
        <w:rPr>
          <w:rFonts w:ascii="Arial" w:hAnsi="Arial"/>
          <w:sz w:val="22"/>
        </w:rPr>
        <w:t xml:space="preserve"> units.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pPr>
        <w:pStyle w:val="BodyTextIndent2"/>
      </w:pPr>
      <w:r>
        <w:t>(5)</w:t>
      </w:r>
      <w:r w:rsidR="001A6D81">
        <w:tab/>
        <w:t>The Board and its Authorized Delegate</w:t>
      </w:r>
      <w:r w:rsidR="005F6082">
        <w:t xml:space="preserve"> shall have access to all official project records, including IRS reporting forms, upon reasonable notification.  All official project records or complete copies of such records must be made available to the Board upon request.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944EB" w:rsidP="003D1295">
      <w:pPr>
        <w:pStyle w:val="BodyTextIndent2"/>
        <w:tabs>
          <w:tab w:val="clear" w:pos="1440"/>
        </w:tabs>
      </w:pPr>
      <w:r>
        <w:t>(6)</w:t>
      </w:r>
      <w:r w:rsidR="005F6082">
        <w:tab/>
      </w:r>
      <w:r w:rsidR="003D1295">
        <w:t xml:space="preserve">Please see </w:t>
      </w:r>
      <w:r w:rsidR="003D1295" w:rsidRPr="004F1B32">
        <w:t>Section VIII</w:t>
      </w:r>
      <w:r w:rsidR="004F1B32">
        <w:t>.</w:t>
      </w:r>
      <w:r w:rsidR="002759FB">
        <w:t>D</w:t>
      </w:r>
      <w:r w:rsidR="00730DF8" w:rsidRPr="004F1B32">
        <w:t xml:space="preserve"> </w:t>
      </w:r>
      <w:r w:rsidR="003D1295">
        <w:t xml:space="preserve">for a summary of </w:t>
      </w:r>
      <w:r w:rsidR="002759FB">
        <w:t xml:space="preserve">the </w:t>
      </w:r>
      <w:r w:rsidR="003D1295">
        <w:t>Compliance Monitoring Fees.</w:t>
      </w:r>
    </w:p>
    <w:p w:rsidR="003D1295" w:rsidRDefault="003D1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944EB" w:rsidP="002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(7)</w:t>
      </w:r>
      <w:r w:rsidR="005F6082">
        <w:rPr>
          <w:rFonts w:ascii="Arial" w:hAnsi="Arial"/>
          <w:sz w:val="22"/>
        </w:rPr>
        <w:tab/>
        <w:t xml:space="preserve">The Board will promptly notify the IRS of any project noncompliance within its responsibility as </w:t>
      </w:r>
      <w:r w:rsidR="004F1B32">
        <w:rPr>
          <w:rFonts w:ascii="Arial" w:hAnsi="Arial"/>
          <w:sz w:val="22"/>
        </w:rPr>
        <w:t xml:space="preserve">set forth </w:t>
      </w:r>
      <w:r w:rsidR="005F6082">
        <w:rPr>
          <w:rFonts w:ascii="Arial" w:hAnsi="Arial"/>
          <w:sz w:val="22"/>
        </w:rPr>
        <w:t xml:space="preserve">in the </w:t>
      </w:r>
      <w:r w:rsidR="004F1B32">
        <w:rPr>
          <w:rFonts w:ascii="Arial" w:hAnsi="Arial"/>
          <w:sz w:val="22"/>
        </w:rPr>
        <w:t>Section 42</w:t>
      </w:r>
      <w:r w:rsidR="009E129E">
        <w:rPr>
          <w:rFonts w:ascii="Arial" w:hAnsi="Arial"/>
          <w:sz w:val="22"/>
        </w:rPr>
        <w:t xml:space="preserve"> of the Code</w:t>
      </w:r>
      <w:r w:rsidR="005F6082">
        <w:rPr>
          <w:rFonts w:ascii="Arial" w:hAnsi="Arial"/>
          <w:sz w:val="22"/>
        </w:rPr>
        <w:t>.</w:t>
      </w:r>
    </w:p>
    <w:p w:rsidR="00124F3E" w:rsidRPr="00E03091" w:rsidRDefault="00397653" w:rsidP="00676FB1">
      <w:pPr>
        <w:pStyle w:val="Heading2"/>
        <w:spacing w:after="0"/>
        <w:ind w:left="720"/>
        <w:rPr>
          <w:rFonts w:ascii="Arial" w:hAnsi="Arial"/>
          <w:i w:val="0"/>
          <w:sz w:val="22"/>
        </w:rPr>
      </w:pPr>
      <w:bookmarkStart w:id="21" w:name="_Toc511903000"/>
      <w:r w:rsidRPr="00922918">
        <w:rPr>
          <w:rFonts w:ascii="Arial" w:hAnsi="Arial"/>
          <w:i w:val="0"/>
          <w:sz w:val="22"/>
        </w:rPr>
        <w:t>R</w:t>
      </w:r>
      <w:r w:rsidR="00922918" w:rsidRPr="00922918">
        <w:rPr>
          <w:rFonts w:ascii="Arial" w:hAnsi="Arial"/>
          <w:i w:val="0"/>
          <w:sz w:val="22"/>
        </w:rPr>
        <w:t>.</w:t>
      </w:r>
      <w:r w:rsidR="006535B4">
        <w:rPr>
          <w:rFonts w:ascii="Arial" w:hAnsi="Arial"/>
          <w:i w:val="0"/>
          <w:sz w:val="22"/>
        </w:rPr>
        <w:tab/>
      </w:r>
      <w:r w:rsidR="00124F3E" w:rsidRPr="00E03091">
        <w:rPr>
          <w:rFonts w:ascii="Arial" w:hAnsi="Arial"/>
          <w:i w:val="0"/>
          <w:sz w:val="22"/>
        </w:rPr>
        <w:t xml:space="preserve">Qualified Contract </w:t>
      </w:r>
      <w:bookmarkEnd w:id="21"/>
    </w:p>
    <w:p w:rsidR="00676FB1" w:rsidRDefault="00676FB1" w:rsidP="003A1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811137" w:rsidRPr="006247FB" w:rsidRDefault="00811137" w:rsidP="003A1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6247FB">
        <w:rPr>
          <w:rFonts w:ascii="Arial" w:hAnsi="Arial"/>
          <w:sz w:val="22"/>
        </w:rPr>
        <w:t>Provided th</w:t>
      </w:r>
      <w:r w:rsidR="002759FB">
        <w:rPr>
          <w:rFonts w:ascii="Arial" w:hAnsi="Arial"/>
          <w:sz w:val="22"/>
        </w:rPr>
        <w:t>e</w:t>
      </w:r>
      <w:r w:rsidRPr="006247FB">
        <w:rPr>
          <w:rFonts w:ascii="Arial" w:hAnsi="Arial"/>
          <w:sz w:val="22"/>
        </w:rPr>
        <w:t xml:space="preserve"> owner did not waive such rights in the </w:t>
      </w:r>
      <w:r w:rsidR="00730DF8">
        <w:rPr>
          <w:rFonts w:ascii="Arial" w:hAnsi="Arial"/>
          <w:sz w:val="22"/>
        </w:rPr>
        <w:t>Declaration</w:t>
      </w:r>
      <w:r w:rsidRPr="006247FB">
        <w:rPr>
          <w:rFonts w:ascii="Arial" w:hAnsi="Arial"/>
          <w:sz w:val="22"/>
        </w:rPr>
        <w:t xml:space="preserve">, Section 42(h)(6)(E) of the Code allows the extended use period to terminate after the original 15 year compliance period, if </w:t>
      </w:r>
      <w:r w:rsidR="00600022">
        <w:rPr>
          <w:rFonts w:ascii="Arial" w:hAnsi="Arial"/>
          <w:sz w:val="22"/>
        </w:rPr>
        <w:t>HRA or CPED i</w:t>
      </w:r>
      <w:r w:rsidRPr="006247FB">
        <w:rPr>
          <w:rFonts w:ascii="Arial" w:hAnsi="Arial"/>
          <w:sz w:val="22"/>
        </w:rPr>
        <w:t xml:space="preserve">s unable to present a qualified contract </w:t>
      </w:r>
      <w:r w:rsidR="004F1B32">
        <w:rPr>
          <w:rFonts w:ascii="Arial" w:hAnsi="Arial"/>
          <w:sz w:val="22"/>
        </w:rPr>
        <w:t>(the “</w:t>
      </w:r>
      <w:r w:rsidR="004A2DEB">
        <w:rPr>
          <w:rFonts w:ascii="Arial" w:hAnsi="Arial"/>
          <w:sz w:val="22"/>
        </w:rPr>
        <w:t>Qualified</w:t>
      </w:r>
      <w:r w:rsidR="004F1B32">
        <w:rPr>
          <w:rFonts w:ascii="Arial" w:hAnsi="Arial"/>
          <w:sz w:val="22"/>
        </w:rPr>
        <w:t xml:space="preserve"> Contract”) </w:t>
      </w:r>
      <w:r w:rsidRPr="006247FB">
        <w:rPr>
          <w:rFonts w:ascii="Arial" w:hAnsi="Arial"/>
          <w:sz w:val="22"/>
        </w:rPr>
        <w:t xml:space="preserve">for </w:t>
      </w:r>
      <w:r w:rsidR="004F1B32">
        <w:rPr>
          <w:rFonts w:ascii="Arial" w:hAnsi="Arial"/>
          <w:sz w:val="22"/>
        </w:rPr>
        <w:t xml:space="preserve">the </w:t>
      </w:r>
      <w:r w:rsidRPr="006247FB">
        <w:rPr>
          <w:rFonts w:ascii="Arial" w:hAnsi="Arial"/>
          <w:sz w:val="22"/>
        </w:rPr>
        <w:t>acquisition of the</w:t>
      </w:r>
      <w:r w:rsidR="00600022">
        <w:rPr>
          <w:rFonts w:ascii="Arial" w:hAnsi="Arial"/>
          <w:sz w:val="22"/>
        </w:rPr>
        <w:t xml:space="preserve"> </w:t>
      </w:r>
      <w:r w:rsidR="00600022">
        <w:rPr>
          <w:rFonts w:ascii="Arial" w:hAnsi="Arial" w:cs="Arial"/>
          <w:sz w:val="22"/>
          <w:szCs w:val="22"/>
        </w:rPr>
        <w:t xml:space="preserve">HTC </w:t>
      </w:r>
      <w:r w:rsidR="004F1B32">
        <w:rPr>
          <w:rFonts w:ascii="Arial" w:hAnsi="Arial"/>
          <w:sz w:val="22"/>
        </w:rPr>
        <w:t>project</w:t>
      </w:r>
      <w:r w:rsidR="009F184B">
        <w:rPr>
          <w:rFonts w:ascii="Arial" w:hAnsi="Arial"/>
          <w:sz w:val="22"/>
        </w:rPr>
        <w:t xml:space="preserve"> </w:t>
      </w:r>
      <w:r w:rsidR="009F184B">
        <w:rPr>
          <w:rFonts w:ascii="Arial" w:hAnsi="Arial"/>
          <w:sz w:val="22"/>
        </w:rPr>
        <w:lastRenderedPageBreak/>
        <w:t xml:space="preserve">by any person </w:t>
      </w:r>
      <w:r w:rsidRPr="006247FB">
        <w:rPr>
          <w:rFonts w:ascii="Arial" w:hAnsi="Arial"/>
          <w:sz w:val="22"/>
        </w:rPr>
        <w:t>will</w:t>
      </w:r>
      <w:r w:rsidR="009F184B">
        <w:rPr>
          <w:rFonts w:ascii="Arial" w:hAnsi="Arial"/>
          <w:sz w:val="22"/>
        </w:rPr>
        <w:t>ing to</w:t>
      </w:r>
      <w:r w:rsidRPr="006247FB">
        <w:rPr>
          <w:rFonts w:ascii="Arial" w:hAnsi="Arial"/>
          <w:sz w:val="22"/>
        </w:rPr>
        <w:t xml:space="preserve"> continue to operate the </w:t>
      </w:r>
      <w:r w:rsidR="00600022">
        <w:rPr>
          <w:rFonts w:ascii="Arial" w:hAnsi="Arial" w:cs="Arial"/>
          <w:sz w:val="22"/>
          <w:szCs w:val="22"/>
        </w:rPr>
        <w:t xml:space="preserve">HTC </w:t>
      </w:r>
      <w:r w:rsidR="009F184B">
        <w:rPr>
          <w:rFonts w:ascii="Arial" w:hAnsi="Arial"/>
          <w:sz w:val="22"/>
        </w:rPr>
        <w:t>project</w:t>
      </w:r>
      <w:r w:rsidRPr="006247FB">
        <w:rPr>
          <w:rFonts w:ascii="Arial" w:hAnsi="Arial"/>
          <w:sz w:val="22"/>
        </w:rPr>
        <w:t xml:space="preserve"> as a qual</w:t>
      </w:r>
      <w:r w:rsidR="004F1B32">
        <w:rPr>
          <w:rFonts w:ascii="Arial" w:hAnsi="Arial"/>
          <w:sz w:val="22"/>
        </w:rPr>
        <w:t xml:space="preserve">ified low income building.  </w:t>
      </w:r>
      <w:r w:rsidR="00600022">
        <w:rPr>
          <w:rFonts w:ascii="Arial" w:hAnsi="Arial"/>
          <w:sz w:val="22"/>
        </w:rPr>
        <w:t xml:space="preserve">HRA or CPED </w:t>
      </w:r>
      <w:r w:rsidR="004F1B32">
        <w:rPr>
          <w:rFonts w:ascii="Arial" w:hAnsi="Arial"/>
          <w:sz w:val="22"/>
        </w:rPr>
        <w:t xml:space="preserve">shall </w:t>
      </w:r>
      <w:r w:rsidR="00600022">
        <w:rPr>
          <w:rFonts w:ascii="Arial" w:hAnsi="Arial"/>
          <w:sz w:val="22"/>
        </w:rPr>
        <w:t>have</w:t>
      </w:r>
      <w:r w:rsidRPr="006247FB">
        <w:rPr>
          <w:rFonts w:ascii="Arial" w:hAnsi="Arial"/>
          <w:sz w:val="22"/>
        </w:rPr>
        <w:t xml:space="preserve"> a o</w:t>
      </w:r>
      <w:r w:rsidR="004F1B32">
        <w:rPr>
          <w:rFonts w:ascii="Arial" w:hAnsi="Arial"/>
          <w:sz w:val="22"/>
        </w:rPr>
        <w:t xml:space="preserve">ne year period to respond to a Qualified Contract </w:t>
      </w:r>
      <w:r w:rsidRPr="006247FB">
        <w:rPr>
          <w:rFonts w:ascii="Arial" w:hAnsi="Arial"/>
          <w:sz w:val="22"/>
        </w:rPr>
        <w:t xml:space="preserve">request from the owner. </w:t>
      </w:r>
    </w:p>
    <w:p w:rsidR="00811137" w:rsidRPr="006247FB" w:rsidRDefault="00811137" w:rsidP="00DF19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811137" w:rsidRPr="006247FB" w:rsidRDefault="00600022" w:rsidP="003A1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Pursuant to </w:t>
      </w:r>
      <w:r w:rsidR="00811137" w:rsidRPr="006247FB">
        <w:rPr>
          <w:rFonts w:ascii="Arial" w:hAnsi="Arial"/>
          <w:sz w:val="22"/>
        </w:rPr>
        <w:t>Section 42(h)(6)(E)</w:t>
      </w:r>
      <w:r>
        <w:rPr>
          <w:rFonts w:ascii="Arial" w:hAnsi="Arial"/>
          <w:sz w:val="22"/>
        </w:rPr>
        <w:t xml:space="preserve"> of the Code</w:t>
      </w:r>
      <w:r w:rsidR="009F184B">
        <w:rPr>
          <w:rFonts w:ascii="Arial" w:hAnsi="Arial"/>
          <w:sz w:val="22"/>
        </w:rPr>
        <w:t xml:space="preserve">, an </w:t>
      </w:r>
      <w:r w:rsidR="00811137" w:rsidRPr="006247FB">
        <w:rPr>
          <w:rFonts w:ascii="Arial" w:hAnsi="Arial"/>
          <w:sz w:val="22"/>
        </w:rPr>
        <w:t>owner’s request f</w:t>
      </w:r>
      <w:r w:rsidR="004F1B32">
        <w:rPr>
          <w:rFonts w:ascii="Arial" w:hAnsi="Arial"/>
          <w:sz w:val="22"/>
        </w:rPr>
        <w:t>or a Qualified C</w:t>
      </w:r>
      <w:r w:rsidR="00811137" w:rsidRPr="006247FB">
        <w:rPr>
          <w:rFonts w:ascii="Arial" w:hAnsi="Arial"/>
          <w:sz w:val="22"/>
        </w:rPr>
        <w:t>ontract must comply with the following</w:t>
      </w:r>
      <w:r w:rsidR="009F184B">
        <w:rPr>
          <w:rFonts w:ascii="Arial" w:hAnsi="Arial"/>
          <w:sz w:val="22"/>
        </w:rPr>
        <w:t>:</w:t>
      </w:r>
    </w:p>
    <w:p w:rsidR="00811137" w:rsidRPr="006247FB" w:rsidRDefault="00811137" w:rsidP="00DF19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811137" w:rsidRPr="006247FB" w:rsidRDefault="005B5F17" w:rsidP="005B5F1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Pr>
          <w:rFonts w:ascii="Arial" w:hAnsi="Arial"/>
          <w:sz w:val="22"/>
        </w:rPr>
        <w:tab/>
      </w:r>
      <w:r w:rsidR="00811137" w:rsidRPr="006247FB">
        <w:rPr>
          <w:rFonts w:ascii="Arial" w:hAnsi="Arial"/>
          <w:sz w:val="22"/>
        </w:rPr>
        <w:t xml:space="preserve">The </w:t>
      </w:r>
      <w:r w:rsidR="00600022">
        <w:rPr>
          <w:rFonts w:ascii="Arial" w:hAnsi="Arial" w:cs="Arial"/>
          <w:sz w:val="22"/>
          <w:szCs w:val="22"/>
        </w:rPr>
        <w:t>HTC</w:t>
      </w:r>
      <w:r w:rsidR="009F184B">
        <w:rPr>
          <w:rFonts w:ascii="Arial" w:hAnsi="Arial"/>
          <w:sz w:val="22"/>
        </w:rPr>
        <w:t xml:space="preserve"> project</w:t>
      </w:r>
      <w:r w:rsidR="00811137" w:rsidRPr="006247FB">
        <w:rPr>
          <w:rFonts w:ascii="Arial" w:hAnsi="Arial"/>
          <w:sz w:val="22"/>
        </w:rPr>
        <w:t xml:space="preserve"> must have completed the 14</w:t>
      </w:r>
      <w:r w:rsidR="00811137" w:rsidRPr="006247FB">
        <w:rPr>
          <w:rFonts w:ascii="Arial" w:hAnsi="Arial"/>
          <w:sz w:val="22"/>
          <w:vertAlign w:val="superscript"/>
        </w:rPr>
        <w:t>th</w:t>
      </w:r>
      <w:r w:rsidR="00811137" w:rsidRPr="006247FB">
        <w:rPr>
          <w:rFonts w:ascii="Arial" w:hAnsi="Arial"/>
          <w:sz w:val="22"/>
        </w:rPr>
        <w:t xml:space="preserve"> year of its </w:t>
      </w:r>
      <w:r w:rsidR="009F184B">
        <w:rPr>
          <w:rFonts w:ascii="Arial" w:hAnsi="Arial"/>
          <w:sz w:val="22"/>
        </w:rPr>
        <w:t xml:space="preserve">15-year </w:t>
      </w:r>
      <w:r w:rsidR="00811137" w:rsidRPr="006247FB">
        <w:rPr>
          <w:rFonts w:ascii="Arial" w:hAnsi="Arial"/>
          <w:sz w:val="22"/>
        </w:rPr>
        <w:t>compliance period. For projects with multiple buildings that were place in service in different years, this time period means the end of the 14</w:t>
      </w:r>
      <w:r w:rsidR="00811137" w:rsidRPr="006247FB">
        <w:rPr>
          <w:rFonts w:ascii="Arial" w:hAnsi="Arial"/>
          <w:sz w:val="22"/>
          <w:vertAlign w:val="superscript"/>
        </w:rPr>
        <w:t>th</w:t>
      </w:r>
      <w:r w:rsidR="00811137" w:rsidRPr="006247FB">
        <w:rPr>
          <w:rFonts w:ascii="Arial" w:hAnsi="Arial"/>
          <w:sz w:val="22"/>
        </w:rPr>
        <w:t xml:space="preserve"> year of the last building in the </w:t>
      </w:r>
      <w:r w:rsidR="00600022">
        <w:rPr>
          <w:rFonts w:ascii="Arial" w:hAnsi="Arial"/>
          <w:sz w:val="22"/>
        </w:rPr>
        <w:t>project</w:t>
      </w:r>
      <w:r w:rsidR="00811137" w:rsidRPr="006247FB">
        <w:rPr>
          <w:rFonts w:ascii="Arial" w:hAnsi="Arial"/>
          <w:sz w:val="22"/>
        </w:rPr>
        <w:t xml:space="preserve"> that was placed in service.</w:t>
      </w:r>
    </w:p>
    <w:p w:rsidR="00811137" w:rsidRPr="006247FB" w:rsidRDefault="00811137" w:rsidP="005B5F1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811137" w:rsidRPr="006247FB" w:rsidRDefault="005B5F17" w:rsidP="005B5F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Pr>
          <w:rFonts w:ascii="Arial" w:hAnsi="Arial"/>
          <w:sz w:val="22"/>
        </w:rPr>
        <w:tab/>
      </w:r>
      <w:r w:rsidR="00811137" w:rsidRPr="006247FB">
        <w:rPr>
          <w:rFonts w:ascii="Arial" w:hAnsi="Arial"/>
          <w:sz w:val="22"/>
        </w:rPr>
        <w:t xml:space="preserve">The </w:t>
      </w:r>
      <w:r w:rsidR="00600022">
        <w:rPr>
          <w:rFonts w:ascii="Arial" w:hAnsi="Arial" w:cs="Arial"/>
          <w:sz w:val="22"/>
          <w:szCs w:val="22"/>
        </w:rPr>
        <w:t xml:space="preserve">HTC </w:t>
      </w:r>
      <w:r w:rsidR="009F184B">
        <w:rPr>
          <w:rFonts w:ascii="Arial" w:hAnsi="Arial"/>
          <w:sz w:val="22"/>
        </w:rPr>
        <w:t>project</w:t>
      </w:r>
      <w:r w:rsidR="00811137" w:rsidRPr="006247FB">
        <w:rPr>
          <w:rFonts w:ascii="Arial" w:hAnsi="Arial"/>
          <w:sz w:val="22"/>
        </w:rPr>
        <w:t xml:space="preserve"> must be in compliance with all </w:t>
      </w:r>
      <w:r w:rsidR="009E129E">
        <w:rPr>
          <w:rFonts w:ascii="Arial" w:hAnsi="Arial"/>
          <w:sz w:val="22"/>
        </w:rPr>
        <w:t xml:space="preserve">requirements of </w:t>
      </w:r>
      <w:r w:rsidR="00811137" w:rsidRPr="006247FB">
        <w:rPr>
          <w:rFonts w:ascii="Arial" w:hAnsi="Arial"/>
          <w:sz w:val="22"/>
        </w:rPr>
        <w:t>Section</w:t>
      </w:r>
      <w:r w:rsidR="00032F0D">
        <w:rPr>
          <w:rFonts w:ascii="Arial" w:hAnsi="Arial"/>
          <w:sz w:val="22"/>
        </w:rPr>
        <w:t> </w:t>
      </w:r>
      <w:r w:rsidR="00811137" w:rsidRPr="006247FB">
        <w:rPr>
          <w:rFonts w:ascii="Arial" w:hAnsi="Arial"/>
          <w:sz w:val="22"/>
        </w:rPr>
        <w:t xml:space="preserve">2 </w:t>
      </w:r>
      <w:r w:rsidR="009E129E">
        <w:rPr>
          <w:rFonts w:ascii="Arial" w:hAnsi="Arial"/>
          <w:sz w:val="22"/>
        </w:rPr>
        <w:t xml:space="preserve">of the Code </w:t>
      </w:r>
      <w:r w:rsidR="00FB6C5E">
        <w:rPr>
          <w:rFonts w:ascii="Arial" w:hAnsi="Arial"/>
          <w:sz w:val="22"/>
        </w:rPr>
        <w:t xml:space="preserve">and </w:t>
      </w:r>
      <w:r w:rsidR="009E129E">
        <w:rPr>
          <w:rFonts w:ascii="Arial" w:hAnsi="Arial"/>
          <w:sz w:val="22"/>
        </w:rPr>
        <w:t xml:space="preserve">all </w:t>
      </w:r>
      <w:r w:rsidR="00FB6C5E">
        <w:rPr>
          <w:rFonts w:ascii="Arial" w:hAnsi="Arial"/>
          <w:sz w:val="22"/>
        </w:rPr>
        <w:t xml:space="preserve">Board </w:t>
      </w:r>
      <w:r w:rsidR="00811137" w:rsidRPr="006247FB">
        <w:rPr>
          <w:rFonts w:ascii="Arial" w:hAnsi="Arial"/>
          <w:sz w:val="22"/>
        </w:rPr>
        <w:t>requirements. Owners must cor</w:t>
      </w:r>
      <w:r w:rsidR="009F184B">
        <w:rPr>
          <w:rFonts w:ascii="Arial" w:hAnsi="Arial"/>
          <w:sz w:val="22"/>
        </w:rPr>
        <w:t xml:space="preserve">rect all compliance </w:t>
      </w:r>
      <w:r w:rsidR="00600022">
        <w:rPr>
          <w:rFonts w:ascii="Arial" w:hAnsi="Arial"/>
          <w:sz w:val="22"/>
        </w:rPr>
        <w:t xml:space="preserve">violations prior to </w:t>
      </w:r>
      <w:r w:rsidR="00811137" w:rsidRPr="006247FB">
        <w:rPr>
          <w:rFonts w:ascii="Arial" w:hAnsi="Arial"/>
          <w:sz w:val="22"/>
        </w:rPr>
        <w:t>submitting a request</w:t>
      </w:r>
      <w:r w:rsidR="002759FB">
        <w:rPr>
          <w:rFonts w:ascii="Arial" w:hAnsi="Arial"/>
          <w:sz w:val="22"/>
        </w:rPr>
        <w:t xml:space="preserve"> for a Qualified Contract</w:t>
      </w:r>
      <w:r w:rsidR="00811137" w:rsidRPr="006247FB">
        <w:rPr>
          <w:rFonts w:ascii="Arial" w:hAnsi="Arial"/>
          <w:sz w:val="22"/>
        </w:rPr>
        <w:t>.</w:t>
      </w:r>
    </w:p>
    <w:p w:rsidR="00811137" w:rsidRPr="006247FB" w:rsidRDefault="00811137" w:rsidP="005B5F1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811137" w:rsidRPr="006247FB" w:rsidRDefault="005B5F17" w:rsidP="005B5F17">
      <w:pPr>
        <w:tabs>
          <w:tab w:val="left" w:pos="0"/>
          <w:tab w:val="left" w:pos="1440"/>
          <w:tab w:val="left" w:pos="216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Pr>
          <w:rFonts w:ascii="Arial" w:hAnsi="Arial"/>
          <w:sz w:val="22"/>
        </w:rPr>
        <w:tab/>
      </w:r>
      <w:r w:rsidR="009F184B">
        <w:rPr>
          <w:rFonts w:ascii="Arial" w:hAnsi="Arial"/>
          <w:sz w:val="22"/>
        </w:rPr>
        <w:t>The o</w:t>
      </w:r>
      <w:r w:rsidR="00811137" w:rsidRPr="006247FB">
        <w:rPr>
          <w:rFonts w:ascii="Arial" w:hAnsi="Arial"/>
          <w:sz w:val="22"/>
        </w:rPr>
        <w:t>wner must certify that it has not been notified of any audit, investigation, or disallowance pe</w:t>
      </w:r>
      <w:r w:rsidR="00600022">
        <w:rPr>
          <w:rFonts w:ascii="Arial" w:hAnsi="Arial"/>
          <w:sz w:val="22"/>
        </w:rPr>
        <w:t>rtaining to Section 42 of the Code</w:t>
      </w:r>
      <w:r w:rsidR="00811137" w:rsidRPr="006247FB">
        <w:rPr>
          <w:rFonts w:ascii="Arial" w:hAnsi="Arial"/>
          <w:sz w:val="22"/>
        </w:rPr>
        <w:t xml:space="preserve"> and must provide any copies of IRS audit findings or disallowances which it has received during the </w:t>
      </w:r>
      <w:r w:rsidR="00F532C1">
        <w:rPr>
          <w:rFonts w:ascii="Arial" w:hAnsi="Arial"/>
          <w:sz w:val="22"/>
        </w:rPr>
        <w:t>1</w:t>
      </w:r>
      <w:r w:rsidR="002759FB">
        <w:rPr>
          <w:rFonts w:ascii="Arial" w:hAnsi="Arial"/>
          <w:sz w:val="22"/>
        </w:rPr>
        <w:t>5</w:t>
      </w:r>
      <w:r w:rsidR="00F532C1">
        <w:rPr>
          <w:rFonts w:ascii="Arial" w:hAnsi="Arial"/>
          <w:sz w:val="22"/>
        </w:rPr>
        <w:t>-</w:t>
      </w:r>
      <w:r w:rsidR="009F184B">
        <w:rPr>
          <w:rFonts w:ascii="Arial" w:hAnsi="Arial"/>
          <w:sz w:val="22"/>
        </w:rPr>
        <w:t xml:space="preserve">year </w:t>
      </w:r>
      <w:r w:rsidR="002759FB">
        <w:rPr>
          <w:rFonts w:ascii="Arial" w:hAnsi="Arial"/>
          <w:sz w:val="22"/>
        </w:rPr>
        <w:t>compliance</w:t>
      </w:r>
      <w:r w:rsidR="00811137" w:rsidRPr="006247FB">
        <w:rPr>
          <w:rFonts w:ascii="Arial" w:hAnsi="Arial"/>
          <w:sz w:val="22"/>
        </w:rPr>
        <w:t xml:space="preserve"> period.</w:t>
      </w:r>
    </w:p>
    <w:p w:rsidR="00811137" w:rsidRPr="006247FB" w:rsidRDefault="00811137" w:rsidP="005B5F17">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811137" w:rsidRPr="003A14BA" w:rsidRDefault="005B5F17" w:rsidP="005B5F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Pr>
          <w:rFonts w:ascii="Arial" w:hAnsi="Arial"/>
          <w:sz w:val="22"/>
        </w:rPr>
        <w:tab/>
      </w:r>
      <w:r w:rsidR="00811137" w:rsidRPr="003A14BA">
        <w:rPr>
          <w:rFonts w:ascii="Arial" w:hAnsi="Arial"/>
          <w:sz w:val="22"/>
        </w:rPr>
        <w:t xml:space="preserve">The owner must have secured a complete, unconditional waiver of all purchase options and rights, including the right of first refusal </w:t>
      </w:r>
      <w:r w:rsidR="001A6D81">
        <w:rPr>
          <w:rFonts w:ascii="Arial" w:hAnsi="Arial"/>
          <w:sz w:val="22"/>
        </w:rPr>
        <w:t>to an non-profit.</w:t>
      </w:r>
    </w:p>
    <w:p w:rsidR="00811137" w:rsidRPr="006247FB" w:rsidRDefault="00811137" w:rsidP="00DF194D">
      <w:pPr>
        <w:tabs>
          <w:tab w:val="left" w:pos="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ind w:left="1320"/>
        <w:jc w:val="both"/>
        <w:rPr>
          <w:rFonts w:ascii="Arial" w:hAnsi="Arial"/>
          <w:sz w:val="22"/>
        </w:rPr>
      </w:pPr>
    </w:p>
    <w:p w:rsidR="00811137" w:rsidRPr="003A14BA" w:rsidRDefault="005B5F17" w:rsidP="005B5F1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(5)</w:t>
      </w:r>
      <w:r>
        <w:rPr>
          <w:rFonts w:ascii="Arial" w:hAnsi="Arial"/>
          <w:sz w:val="22"/>
        </w:rPr>
        <w:tab/>
      </w:r>
      <w:r w:rsidR="009F184B">
        <w:rPr>
          <w:rFonts w:ascii="Arial" w:hAnsi="Arial"/>
          <w:sz w:val="22"/>
        </w:rPr>
        <w:t>The o</w:t>
      </w:r>
      <w:r w:rsidR="00811137" w:rsidRPr="003A14BA">
        <w:rPr>
          <w:rFonts w:ascii="Arial" w:hAnsi="Arial"/>
          <w:sz w:val="22"/>
        </w:rPr>
        <w:t>wner must have the written consent of all its limited partners to negotiate on</w:t>
      </w:r>
      <w:r w:rsidR="003A14BA">
        <w:rPr>
          <w:rFonts w:ascii="Arial" w:hAnsi="Arial"/>
          <w:sz w:val="22"/>
        </w:rPr>
        <w:t xml:space="preserve"> </w:t>
      </w:r>
      <w:r w:rsidR="00811137" w:rsidRPr="003A14BA">
        <w:rPr>
          <w:rFonts w:ascii="Arial" w:hAnsi="Arial"/>
          <w:sz w:val="22"/>
        </w:rPr>
        <w:t>behalf</w:t>
      </w:r>
      <w:r w:rsidR="001240BB">
        <w:rPr>
          <w:rFonts w:ascii="Arial" w:hAnsi="Arial"/>
          <w:sz w:val="22"/>
        </w:rPr>
        <w:t xml:space="preserve"> of the</w:t>
      </w:r>
      <w:r w:rsidR="002759FB">
        <w:rPr>
          <w:rFonts w:ascii="Arial" w:hAnsi="Arial"/>
          <w:sz w:val="22"/>
        </w:rPr>
        <w:t xml:space="preserve"> owner</w:t>
      </w:r>
      <w:r w:rsidR="001240BB">
        <w:rPr>
          <w:rFonts w:ascii="Arial" w:hAnsi="Arial"/>
          <w:sz w:val="22"/>
        </w:rPr>
        <w:t xml:space="preserve"> for a Qualified C</w:t>
      </w:r>
      <w:r w:rsidR="00811137" w:rsidRPr="003A14BA">
        <w:rPr>
          <w:rFonts w:ascii="Arial" w:hAnsi="Arial"/>
          <w:sz w:val="22"/>
        </w:rPr>
        <w:t>ontract.</w:t>
      </w:r>
    </w:p>
    <w:p w:rsidR="00811137" w:rsidRPr="006247FB" w:rsidRDefault="00811137" w:rsidP="00DF1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B5F17" w:rsidRDefault="005B5F17" w:rsidP="005B5F17">
      <w:pPr>
        <w:tabs>
          <w:tab w:val="left" w:pos="216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(6)</w:t>
      </w:r>
      <w:r>
        <w:rPr>
          <w:rFonts w:ascii="Arial" w:hAnsi="Arial"/>
          <w:sz w:val="22"/>
        </w:rPr>
        <w:tab/>
      </w:r>
      <w:r w:rsidR="009F184B">
        <w:rPr>
          <w:rFonts w:ascii="Arial" w:hAnsi="Arial"/>
          <w:sz w:val="22"/>
        </w:rPr>
        <w:t>The o</w:t>
      </w:r>
      <w:r w:rsidR="001240BB">
        <w:rPr>
          <w:rFonts w:ascii="Arial" w:hAnsi="Arial"/>
          <w:sz w:val="22"/>
        </w:rPr>
        <w:t>wner may only request a Q</w:t>
      </w:r>
      <w:r w:rsidR="00811137" w:rsidRPr="006247FB">
        <w:rPr>
          <w:rFonts w:ascii="Arial" w:hAnsi="Arial"/>
          <w:sz w:val="22"/>
        </w:rPr>
        <w:t>uali</w:t>
      </w:r>
      <w:r w:rsidR="001240BB">
        <w:rPr>
          <w:rFonts w:ascii="Arial" w:hAnsi="Arial"/>
          <w:sz w:val="22"/>
        </w:rPr>
        <w:t>fied C</w:t>
      </w:r>
      <w:r w:rsidR="00600022">
        <w:rPr>
          <w:rFonts w:ascii="Arial" w:hAnsi="Arial"/>
          <w:sz w:val="22"/>
        </w:rPr>
        <w:t xml:space="preserve">ontract one time from </w:t>
      </w:r>
      <w:r w:rsidR="00811137" w:rsidRPr="006247FB">
        <w:rPr>
          <w:rFonts w:ascii="Arial" w:hAnsi="Arial"/>
          <w:sz w:val="22"/>
        </w:rPr>
        <w:t>CPED or HRA</w:t>
      </w:r>
      <w:r w:rsidR="00032F0D">
        <w:rPr>
          <w:rFonts w:ascii="Arial" w:hAnsi="Arial"/>
          <w:sz w:val="22"/>
        </w:rPr>
        <w:t>.</w:t>
      </w:r>
    </w:p>
    <w:p w:rsidR="005B5F17" w:rsidRDefault="005B5F17" w:rsidP="005B5F17">
      <w:pPr>
        <w:tabs>
          <w:tab w:val="left" w:pos="720"/>
          <w:tab w:val="left" w:pos="1320"/>
          <w:tab w:val="left" w:pos="225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sz w:val="22"/>
        </w:rPr>
      </w:pPr>
    </w:p>
    <w:p w:rsidR="00811137" w:rsidRPr="00FB6C5E" w:rsidRDefault="005B5F17" w:rsidP="00874310">
      <w:pPr>
        <w:tabs>
          <w:tab w:val="left" w:pos="720"/>
          <w:tab w:val="left" w:pos="216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(7)</w:t>
      </w:r>
      <w:r w:rsidR="00874310">
        <w:rPr>
          <w:rFonts w:ascii="Arial" w:hAnsi="Arial"/>
          <w:sz w:val="22"/>
        </w:rPr>
        <w:tab/>
      </w:r>
      <w:r w:rsidR="009F184B" w:rsidRPr="00FB6C5E">
        <w:rPr>
          <w:rFonts w:ascii="Arial" w:hAnsi="Arial"/>
          <w:sz w:val="22"/>
        </w:rPr>
        <w:t>The o</w:t>
      </w:r>
      <w:r w:rsidR="00811137" w:rsidRPr="00FB6C5E">
        <w:rPr>
          <w:rFonts w:ascii="Arial" w:hAnsi="Arial"/>
          <w:sz w:val="22"/>
        </w:rPr>
        <w:t xml:space="preserve">wner will be required to cover all costs, including third party costs, incurred by CPED or HRA </w:t>
      </w:r>
      <w:r w:rsidR="001240BB">
        <w:rPr>
          <w:rFonts w:ascii="Arial" w:hAnsi="Arial"/>
          <w:sz w:val="22"/>
        </w:rPr>
        <w:t>in processing and evaluating a Q</w:t>
      </w:r>
      <w:r w:rsidR="00811137" w:rsidRPr="00FB6C5E">
        <w:rPr>
          <w:rFonts w:ascii="Arial" w:hAnsi="Arial"/>
          <w:sz w:val="22"/>
        </w:rPr>
        <w:t>u</w:t>
      </w:r>
      <w:r w:rsidR="001240BB">
        <w:rPr>
          <w:rFonts w:ascii="Arial" w:hAnsi="Arial"/>
          <w:sz w:val="22"/>
        </w:rPr>
        <w:t>alified Contract request.  The o</w:t>
      </w:r>
      <w:r w:rsidR="00811137" w:rsidRPr="00FB6C5E">
        <w:rPr>
          <w:rFonts w:ascii="Arial" w:hAnsi="Arial"/>
          <w:sz w:val="22"/>
        </w:rPr>
        <w:t xml:space="preserve">wner has thirty (30) days to pay </w:t>
      </w:r>
      <w:r w:rsidR="001240BB">
        <w:rPr>
          <w:rFonts w:ascii="Arial" w:hAnsi="Arial"/>
          <w:sz w:val="22"/>
        </w:rPr>
        <w:t xml:space="preserve">the </w:t>
      </w:r>
      <w:r w:rsidR="00811137" w:rsidRPr="00FB6C5E">
        <w:rPr>
          <w:rFonts w:ascii="Arial" w:hAnsi="Arial"/>
          <w:sz w:val="22"/>
        </w:rPr>
        <w:t xml:space="preserve">costs incurred by CPED or HRA. If requested funds are not paid within </w:t>
      </w:r>
      <w:r w:rsidR="001240BB">
        <w:rPr>
          <w:rFonts w:ascii="Arial" w:hAnsi="Arial"/>
          <w:sz w:val="22"/>
        </w:rPr>
        <w:t>thirty (</w:t>
      </w:r>
      <w:r w:rsidR="00811137" w:rsidRPr="00FB6C5E">
        <w:rPr>
          <w:rFonts w:ascii="Arial" w:hAnsi="Arial"/>
          <w:sz w:val="22"/>
        </w:rPr>
        <w:t>30</w:t>
      </w:r>
      <w:r w:rsidR="001240BB">
        <w:rPr>
          <w:rFonts w:ascii="Arial" w:hAnsi="Arial"/>
          <w:sz w:val="22"/>
        </w:rPr>
        <w:t>)</w:t>
      </w:r>
      <w:r w:rsidR="00811137" w:rsidRPr="00FB6C5E">
        <w:rPr>
          <w:rFonts w:ascii="Arial" w:hAnsi="Arial"/>
          <w:sz w:val="22"/>
        </w:rPr>
        <w:t xml:space="preserve"> days of notice to owner, the </w:t>
      </w:r>
      <w:r w:rsidR="001240BB">
        <w:rPr>
          <w:rFonts w:ascii="Arial" w:hAnsi="Arial"/>
          <w:sz w:val="22"/>
        </w:rPr>
        <w:t>Qualified C</w:t>
      </w:r>
      <w:r w:rsidR="00811137" w:rsidRPr="00FB6C5E">
        <w:rPr>
          <w:rFonts w:ascii="Arial" w:hAnsi="Arial"/>
          <w:sz w:val="22"/>
        </w:rPr>
        <w:t xml:space="preserve">ontract request will be terminated. Suspension in accordance with this paragraph of any requirement set forth herein shall also suspend the one </w:t>
      </w:r>
      <w:r w:rsidR="001240BB">
        <w:rPr>
          <w:rFonts w:ascii="Arial" w:hAnsi="Arial"/>
          <w:sz w:val="22"/>
        </w:rPr>
        <w:t xml:space="preserve">(1) </w:t>
      </w:r>
      <w:r w:rsidR="00811137" w:rsidRPr="00FB6C5E">
        <w:rPr>
          <w:rFonts w:ascii="Arial" w:hAnsi="Arial"/>
          <w:sz w:val="22"/>
        </w:rPr>
        <w:t>year time period for CPED or HRA action.</w:t>
      </w:r>
    </w:p>
    <w:p w:rsidR="00811137" w:rsidRPr="006247FB" w:rsidRDefault="00811137" w:rsidP="00DF19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320"/>
        <w:jc w:val="both"/>
        <w:rPr>
          <w:rFonts w:ascii="Arial" w:hAnsi="Arial"/>
          <w:sz w:val="22"/>
        </w:rPr>
      </w:pPr>
    </w:p>
    <w:p w:rsidR="00811137" w:rsidRPr="006247FB" w:rsidRDefault="00874310" w:rsidP="008743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sz w:val="22"/>
        </w:rPr>
      </w:pPr>
      <w:r>
        <w:rPr>
          <w:rFonts w:ascii="Arial" w:hAnsi="Arial"/>
          <w:sz w:val="22"/>
        </w:rPr>
        <w:tab/>
        <w:t>(8)</w:t>
      </w:r>
      <w:r>
        <w:rPr>
          <w:rFonts w:ascii="Arial" w:hAnsi="Arial"/>
          <w:sz w:val="22"/>
        </w:rPr>
        <w:tab/>
      </w:r>
      <w:r w:rsidR="009F184B">
        <w:rPr>
          <w:rFonts w:ascii="Arial" w:hAnsi="Arial"/>
          <w:sz w:val="22"/>
        </w:rPr>
        <w:t xml:space="preserve">Payment of a </w:t>
      </w:r>
      <w:r w:rsidR="001240BB">
        <w:rPr>
          <w:rFonts w:ascii="Arial" w:hAnsi="Arial"/>
          <w:sz w:val="22"/>
        </w:rPr>
        <w:t xml:space="preserve">non-refundable fee </w:t>
      </w:r>
      <w:r w:rsidR="00FB6C5E">
        <w:rPr>
          <w:rFonts w:ascii="Arial" w:hAnsi="Arial"/>
          <w:sz w:val="22"/>
        </w:rPr>
        <w:t xml:space="preserve">in the amount of </w:t>
      </w:r>
      <w:r w:rsidR="001240BB">
        <w:rPr>
          <w:rFonts w:ascii="Arial" w:hAnsi="Arial"/>
          <w:sz w:val="22"/>
        </w:rPr>
        <w:t>$5,000 for processing a Qualified C</w:t>
      </w:r>
      <w:r w:rsidR="00811137" w:rsidRPr="006247FB">
        <w:rPr>
          <w:rFonts w:ascii="Arial" w:hAnsi="Arial"/>
          <w:sz w:val="22"/>
        </w:rPr>
        <w:t>ontract request.</w:t>
      </w:r>
    </w:p>
    <w:p w:rsidR="00811137" w:rsidRPr="006247FB" w:rsidRDefault="00811137" w:rsidP="00DF19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p>
    <w:p w:rsidR="00811137" w:rsidRPr="006247FB" w:rsidRDefault="00811137" w:rsidP="003A1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6247FB">
        <w:rPr>
          <w:rFonts w:ascii="Arial" w:hAnsi="Arial"/>
          <w:sz w:val="22"/>
        </w:rPr>
        <w:t xml:space="preserve">Any owner’s request for a Qualified Contract with expiring compliance periods must </w:t>
      </w:r>
      <w:r w:rsidR="001240BB">
        <w:rPr>
          <w:rFonts w:ascii="Arial" w:hAnsi="Arial"/>
          <w:sz w:val="22"/>
        </w:rPr>
        <w:t xml:space="preserve">also comply with </w:t>
      </w:r>
      <w:r w:rsidR="00F532C1">
        <w:rPr>
          <w:rFonts w:ascii="Arial" w:hAnsi="Arial"/>
          <w:sz w:val="22"/>
        </w:rPr>
        <w:t>Minnesota Housing</w:t>
      </w:r>
      <w:r w:rsidR="001240BB">
        <w:rPr>
          <w:rFonts w:ascii="Arial" w:hAnsi="Arial"/>
          <w:sz w:val="22"/>
        </w:rPr>
        <w:t xml:space="preserve">’s </w:t>
      </w:r>
      <w:r w:rsidRPr="006247FB">
        <w:rPr>
          <w:rFonts w:ascii="Arial" w:hAnsi="Arial"/>
          <w:sz w:val="22"/>
        </w:rPr>
        <w:t xml:space="preserve">Credit </w:t>
      </w:r>
      <w:r w:rsidR="00F532C1">
        <w:rPr>
          <w:rFonts w:ascii="Arial" w:hAnsi="Arial"/>
          <w:sz w:val="22"/>
        </w:rPr>
        <w:t xml:space="preserve">QAP </w:t>
      </w:r>
      <w:r w:rsidRPr="006247FB">
        <w:rPr>
          <w:rFonts w:ascii="Arial" w:hAnsi="Arial"/>
          <w:sz w:val="22"/>
        </w:rPr>
        <w:t xml:space="preserve">and the Qualified Contract Process Guide and </w:t>
      </w:r>
      <w:r w:rsidR="001240BB">
        <w:rPr>
          <w:rFonts w:ascii="Arial" w:hAnsi="Arial"/>
          <w:sz w:val="22"/>
        </w:rPr>
        <w:t xml:space="preserve">the </w:t>
      </w:r>
      <w:r w:rsidRPr="006247FB">
        <w:rPr>
          <w:rFonts w:ascii="Arial" w:hAnsi="Arial"/>
          <w:sz w:val="22"/>
        </w:rPr>
        <w:t>owner must submit evidence of the same to CPED and HRA.  CPED for Minneapolis projects and HRA for Saint Paul projects shall each undertake this function as requested by the owner refere</w:t>
      </w:r>
      <w:r w:rsidR="00053603">
        <w:rPr>
          <w:rFonts w:ascii="Arial" w:hAnsi="Arial"/>
          <w:sz w:val="22"/>
        </w:rPr>
        <w:t>nc</w:t>
      </w:r>
      <w:r w:rsidRPr="006247FB">
        <w:rPr>
          <w:rFonts w:ascii="Arial" w:hAnsi="Arial"/>
          <w:sz w:val="22"/>
        </w:rPr>
        <w:t xml:space="preserve">ing the </w:t>
      </w:r>
      <w:r w:rsidR="00F532C1">
        <w:rPr>
          <w:rFonts w:ascii="Arial" w:hAnsi="Arial"/>
          <w:sz w:val="22"/>
        </w:rPr>
        <w:t xml:space="preserve">Minnesota Housing </w:t>
      </w:r>
      <w:r w:rsidRPr="006247FB">
        <w:rPr>
          <w:rFonts w:ascii="Arial" w:hAnsi="Arial"/>
          <w:sz w:val="22"/>
        </w:rPr>
        <w:t>as the guidelines.</w:t>
      </w:r>
    </w:p>
    <w:p w:rsidR="005F6082" w:rsidRPr="00E03091" w:rsidRDefault="00B8358B" w:rsidP="00F7518F">
      <w:pPr>
        <w:pStyle w:val="Heading2"/>
        <w:spacing w:after="0"/>
        <w:ind w:left="806"/>
        <w:rPr>
          <w:rFonts w:ascii="Arial" w:hAnsi="Arial"/>
          <w:i w:val="0"/>
          <w:sz w:val="22"/>
        </w:rPr>
      </w:pPr>
      <w:bookmarkStart w:id="22" w:name="_Toc511903001"/>
      <w:r w:rsidRPr="00922918">
        <w:rPr>
          <w:rFonts w:ascii="Arial" w:hAnsi="Arial"/>
          <w:i w:val="0"/>
          <w:sz w:val="22"/>
        </w:rPr>
        <w:lastRenderedPageBreak/>
        <w:t>S</w:t>
      </w:r>
      <w:r w:rsidR="00922918" w:rsidRPr="00922918">
        <w:rPr>
          <w:rFonts w:ascii="Arial" w:hAnsi="Arial"/>
          <w:i w:val="0"/>
          <w:sz w:val="22"/>
        </w:rPr>
        <w:t>.</w:t>
      </w:r>
      <w:r>
        <w:rPr>
          <w:rFonts w:ascii="Arial" w:hAnsi="Arial"/>
          <w:i w:val="0"/>
          <w:sz w:val="22"/>
        </w:rPr>
        <w:t xml:space="preserve">    </w:t>
      </w:r>
      <w:r w:rsidR="005F6082" w:rsidRPr="00E03091">
        <w:rPr>
          <w:rFonts w:ascii="Arial" w:hAnsi="Arial"/>
          <w:i w:val="0"/>
          <w:sz w:val="22"/>
        </w:rPr>
        <w:t>Other Conditions</w:t>
      </w:r>
      <w:r w:rsidR="005F6082" w:rsidRPr="00E03091">
        <w:rPr>
          <w:rFonts w:ascii="Arial" w:hAnsi="Arial"/>
          <w:i w:val="0"/>
          <w:sz w:val="22"/>
        </w:rPr>
        <w:fldChar w:fldCharType="begin"/>
      </w:r>
      <w:r w:rsidR="005F6082" w:rsidRPr="00E03091">
        <w:rPr>
          <w:rFonts w:ascii="Arial" w:hAnsi="Arial"/>
          <w:i w:val="0"/>
          <w:sz w:val="22"/>
        </w:rPr>
        <w:instrText>tc \l2 "Q.</w:instrText>
      </w:r>
      <w:r w:rsidR="005F6082" w:rsidRPr="00E03091">
        <w:rPr>
          <w:rFonts w:ascii="Arial" w:hAnsi="Arial"/>
          <w:i w:val="0"/>
          <w:sz w:val="22"/>
        </w:rPr>
        <w:tab/>
      </w:r>
      <w:r w:rsidR="005F6082" w:rsidRPr="00E03091">
        <w:rPr>
          <w:rFonts w:ascii="Arial" w:hAnsi="Arial"/>
          <w:i w:val="0"/>
          <w:sz w:val="22"/>
        </w:rPr>
        <w:tab/>
        <w:instrText>Other Conditions</w:instrText>
      </w:r>
      <w:r w:rsidR="005F6082" w:rsidRPr="00E03091">
        <w:rPr>
          <w:rFonts w:ascii="Arial" w:hAnsi="Arial"/>
          <w:i w:val="0"/>
          <w:sz w:val="22"/>
        </w:rPr>
        <w:fldChar w:fldCharType="end"/>
      </w:r>
      <w:bookmarkEnd w:id="22"/>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All submissions to </w:t>
      </w:r>
      <w:r w:rsidR="00350A65">
        <w:rPr>
          <w:rFonts w:ascii="Arial" w:hAnsi="Arial"/>
          <w:sz w:val="22"/>
        </w:rPr>
        <w:t>CPED</w:t>
      </w:r>
      <w:r>
        <w:rPr>
          <w:rFonts w:ascii="Arial" w:hAnsi="Arial"/>
          <w:sz w:val="22"/>
        </w:rPr>
        <w:t>, HRA or Board will be considered public information in accordance with the Minnesota Government Data Practices Act (Minnesota Statutes, Chapter 13).</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No member, officer, agent, or employee of the City of Minneapolis, the City of Saint Paul, </w:t>
      </w:r>
      <w:r w:rsidR="00350A65">
        <w:rPr>
          <w:rFonts w:ascii="Arial" w:hAnsi="Arial"/>
          <w:sz w:val="22"/>
        </w:rPr>
        <w:t>CPED</w:t>
      </w:r>
      <w:r>
        <w:rPr>
          <w:rFonts w:ascii="Arial" w:hAnsi="Arial"/>
          <w:sz w:val="22"/>
        </w:rPr>
        <w:t xml:space="preserve">, HRA, or the Board shall be personally liable concerning any matters arising out of, or in relation to, the allocation of </w:t>
      </w:r>
      <w:r w:rsidR="001E12F9">
        <w:rPr>
          <w:rFonts w:ascii="Arial" w:hAnsi="Arial"/>
          <w:sz w:val="22"/>
        </w:rPr>
        <w:t>HTC</w:t>
      </w:r>
      <w:r>
        <w:rPr>
          <w:rFonts w:ascii="Arial" w:hAnsi="Arial"/>
          <w:sz w:val="22"/>
        </w:rPr>
        <w: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874310"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 written explanation will be made available to the general public for any allocation of </w:t>
      </w:r>
      <w:r w:rsidR="00F532C1">
        <w:rPr>
          <w:rFonts w:ascii="Arial" w:hAnsi="Arial"/>
          <w:sz w:val="22"/>
        </w:rPr>
        <w:t xml:space="preserve">9% </w:t>
      </w:r>
      <w:r w:rsidR="001E12F9">
        <w:rPr>
          <w:rFonts w:ascii="Arial" w:hAnsi="Arial"/>
          <w:sz w:val="22"/>
        </w:rPr>
        <w:t xml:space="preserve">HTC s </w:t>
      </w:r>
      <w:r>
        <w:rPr>
          <w:rFonts w:ascii="Arial" w:hAnsi="Arial"/>
          <w:sz w:val="22"/>
        </w:rPr>
        <w:t>that is not made in accordance with the Board’s established priorities and selection criteria</w:t>
      </w:r>
      <w:r w:rsidR="00874310">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w:t>
      </w:r>
    </w:p>
    <w:p w:rsidR="005F6082" w:rsidRDefault="00B8358B" w:rsidP="00F7518F">
      <w:pPr>
        <w:pStyle w:val="Heading2"/>
        <w:spacing w:before="0" w:after="0"/>
        <w:rPr>
          <w:rFonts w:ascii="Arial" w:hAnsi="Arial"/>
          <w:sz w:val="22"/>
        </w:rPr>
      </w:pPr>
      <w:bookmarkStart w:id="23" w:name="_Toc511903002"/>
      <w:r>
        <w:rPr>
          <w:rFonts w:ascii="Arial" w:hAnsi="Arial"/>
          <w:i w:val="0"/>
          <w:sz w:val="22"/>
        </w:rPr>
        <w:t xml:space="preserve">               </w:t>
      </w:r>
      <w:r w:rsidRPr="00922918">
        <w:rPr>
          <w:rFonts w:ascii="Arial" w:hAnsi="Arial"/>
          <w:i w:val="0"/>
          <w:sz w:val="22"/>
        </w:rPr>
        <w:t>T</w:t>
      </w:r>
      <w:r w:rsidR="00922918" w:rsidRPr="00922918">
        <w:rPr>
          <w:rFonts w:ascii="Arial" w:hAnsi="Arial"/>
          <w:i w:val="0"/>
          <w:sz w:val="22"/>
        </w:rPr>
        <w:t>.</w:t>
      </w:r>
      <w:r>
        <w:rPr>
          <w:rFonts w:ascii="Arial" w:hAnsi="Arial"/>
          <w:i w:val="0"/>
          <w:color w:val="FF0000"/>
          <w:sz w:val="22"/>
        </w:rPr>
        <w:t xml:space="preserve">   </w:t>
      </w:r>
      <w:r w:rsidR="00FB6C5E">
        <w:rPr>
          <w:rFonts w:ascii="Arial" w:hAnsi="Arial"/>
          <w:i w:val="0"/>
          <w:sz w:val="22"/>
        </w:rPr>
        <w:t xml:space="preserve">Revisions to this </w:t>
      </w:r>
      <w:r w:rsidR="00600022">
        <w:rPr>
          <w:rFonts w:ascii="Arial" w:hAnsi="Arial"/>
          <w:i w:val="0"/>
          <w:sz w:val="22"/>
        </w:rPr>
        <w:t xml:space="preserve">Procedure </w:t>
      </w:r>
      <w:r w:rsidR="005F6082" w:rsidRPr="00E03091">
        <w:rPr>
          <w:rFonts w:ascii="Arial" w:hAnsi="Arial"/>
          <w:i w:val="0"/>
          <w:sz w:val="22"/>
        </w:rPr>
        <w:t xml:space="preserve">Manual and </w:t>
      </w:r>
      <w:r w:rsidR="00F532C1" w:rsidRPr="00F532C1">
        <w:rPr>
          <w:rFonts w:ascii="Arial" w:hAnsi="Arial"/>
          <w:i w:val="0"/>
          <w:sz w:val="22"/>
        </w:rPr>
        <w:t>QAP</w:t>
      </w:r>
      <w:r w:rsidR="00F532C1">
        <w:rPr>
          <w:rFonts w:ascii="Arial" w:hAnsi="Arial"/>
          <w:i w:val="0"/>
          <w:sz w:val="22"/>
        </w:rPr>
        <w:t xml:space="preserve"> </w:t>
      </w:r>
      <w:r w:rsidR="005F6082">
        <w:rPr>
          <w:rFonts w:ascii="Arial" w:hAnsi="Arial"/>
          <w:b w:val="0"/>
          <w:sz w:val="22"/>
        </w:rPr>
        <w:fldChar w:fldCharType="begin"/>
      </w:r>
      <w:r w:rsidR="005F6082">
        <w:rPr>
          <w:rFonts w:ascii="Arial" w:hAnsi="Arial"/>
          <w:b w:val="0"/>
          <w:sz w:val="22"/>
        </w:rPr>
        <w:instrText>tc \l2 "R.</w:instrText>
      </w:r>
      <w:r w:rsidR="005F6082">
        <w:rPr>
          <w:rFonts w:ascii="Arial" w:hAnsi="Arial"/>
          <w:b w:val="0"/>
          <w:sz w:val="22"/>
        </w:rPr>
        <w:tab/>
      </w:r>
      <w:r w:rsidR="005F6082">
        <w:rPr>
          <w:rFonts w:ascii="Arial" w:hAnsi="Arial"/>
          <w:b w:val="0"/>
          <w:sz w:val="22"/>
        </w:rPr>
        <w:tab/>
        <w:instrText>Revisions to the Manual and Allocation Plan</w:instrText>
      </w:r>
      <w:r w:rsidR="005F6082">
        <w:rPr>
          <w:rFonts w:ascii="Arial" w:hAnsi="Arial"/>
          <w:b w:val="0"/>
          <w:sz w:val="22"/>
        </w:rPr>
        <w:fldChar w:fldCharType="end"/>
      </w:r>
      <w:bookmarkEnd w:id="23"/>
    </w:p>
    <w:p w:rsidR="005F6082" w:rsidRDefault="005F6082" w:rsidP="00F751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To the extent necessary to facilitate the award</w:t>
      </w:r>
      <w:r w:rsidR="00FB6C5E">
        <w:rPr>
          <w:rFonts w:ascii="Arial" w:hAnsi="Arial"/>
          <w:sz w:val="22"/>
        </w:rPr>
        <w:t xml:space="preserve"> of</w:t>
      </w:r>
      <w:r>
        <w:rPr>
          <w:rFonts w:ascii="Arial" w:hAnsi="Arial"/>
          <w:sz w:val="22"/>
        </w:rPr>
        <w:t xml:space="preserve"> </w:t>
      </w:r>
      <w:r w:rsidR="00600022">
        <w:rPr>
          <w:rFonts w:ascii="Arial" w:hAnsi="Arial" w:cs="Arial"/>
          <w:sz w:val="22"/>
          <w:szCs w:val="22"/>
        </w:rPr>
        <w:t xml:space="preserve">HTC </w:t>
      </w:r>
      <w:r>
        <w:rPr>
          <w:rFonts w:ascii="Arial" w:hAnsi="Arial"/>
          <w:sz w:val="22"/>
        </w:rPr>
        <w:t xml:space="preserve">that would not otherwise be awarded, this Procedural Manual and </w:t>
      </w:r>
      <w:r w:rsidR="00600022">
        <w:rPr>
          <w:rFonts w:ascii="Arial" w:hAnsi="Arial"/>
          <w:sz w:val="22"/>
        </w:rPr>
        <w:t xml:space="preserve">the </w:t>
      </w:r>
      <w:r>
        <w:rPr>
          <w:rFonts w:ascii="Arial" w:hAnsi="Arial"/>
          <w:sz w:val="22"/>
        </w:rPr>
        <w:t xml:space="preserve">attached </w:t>
      </w:r>
      <w:r w:rsidR="00F532C1">
        <w:rPr>
          <w:rFonts w:ascii="Arial" w:hAnsi="Arial"/>
          <w:sz w:val="22"/>
        </w:rPr>
        <w:t xml:space="preserve">QAP </w:t>
      </w:r>
      <w:r>
        <w:rPr>
          <w:rFonts w:ascii="Arial" w:hAnsi="Arial"/>
          <w:sz w:val="22"/>
        </w:rPr>
        <w:t>may be modified by the Board from time to time.  The Board staff may make minor administrative modifications deemed necessary to facilit</w:t>
      </w:r>
      <w:r w:rsidR="00F532C1">
        <w:rPr>
          <w:rFonts w:ascii="Arial" w:hAnsi="Arial"/>
          <w:sz w:val="22"/>
        </w:rPr>
        <w:t xml:space="preserve">ate the administration of the </w:t>
      </w:r>
      <w:r>
        <w:rPr>
          <w:rFonts w:ascii="Arial" w:hAnsi="Arial"/>
          <w:sz w:val="22"/>
        </w:rPr>
        <w:t>H</w:t>
      </w:r>
      <w:r w:rsidR="003D1295">
        <w:rPr>
          <w:rFonts w:ascii="Arial" w:hAnsi="Arial"/>
          <w:sz w:val="22"/>
        </w:rPr>
        <w:t>T</w:t>
      </w:r>
      <w:r>
        <w:rPr>
          <w:rFonts w:ascii="Arial" w:hAnsi="Arial"/>
          <w:sz w:val="22"/>
        </w:rPr>
        <w:t>C Program or to address unforeseen circumstances.  Further, the Board is authorized to waive any conditions</w:t>
      </w:r>
      <w:r w:rsidR="001E12F9">
        <w:rPr>
          <w:rFonts w:ascii="Arial" w:hAnsi="Arial"/>
          <w:sz w:val="22"/>
        </w:rPr>
        <w:t>, which are not mandated by</w:t>
      </w:r>
      <w:r>
        <w:rPr>
          <w:rFonts w:ascii="Arial" w:hAnsi="Arial"/>
          <w:sz w:val="22"/>
        </w:rPr>
        <w:t xml:space="preserve"> </w:t>
      </w:r>
      <w:r w:rsidR="001E12F9">
        <w:rPr>
          <w:rFonts w:ascii="Arial" w:hAnsi="Arial"/>
          <w:sz w:val="22"/>
        </w:rPr>
        <w:t>Section 42</w:t>
      </w:r>
      <w:r w:rsidR="009E129E">
        <w:rPr>
          <w:rFonts w:ascii="Arial" w:hAnsi="Arial"/>
          <w:sz w:val="22"/>
        </w:rPr>
        <w:t xml:space="preserve"> of the Code </w:t>
      </w:r>
      <w:r>
        <w:rPr>
          <w:rFonts w:ascii="Arial" w:hAnsi="Arial"/>
          <w:sz w:val="22"/>
        </w:rPr>
        <w:t>on a case by case basis for good cause shown.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attached </w:t>
      </w:r>
      <w:r w:rsidR="00F532C1">
        <w:rPr>
          <w:rFonts w:ascii="Arial" w:hAnsi="Arial"/>
          <w:sz w:val="22"/>
        </w:rPr>
        <w:t xml:space="preserve">QAP </w:t>
      </w:r>
      <w:r>
        <w:rPr>
          <w:rFonts w:ascii="Arial" w:hAnsi="Arial"/>
          <w:sz w:val="22"/>
        </w:rPr>
        <w:t xml:space="preserve">may be amended by the Board with the approval of both of the cities for substantive issues at any time following public notice and </w:t>
      </w:r>
      <w:r w:rsidR="001E12F9">
        <w:rPr>
          <w:rFonts w:ascii="Arial" w:hAnsi="Arial"/>
          <w:sz w:val="22"/>
        </w:rPr>
        <w:t xml:space="preserve">a public hearing. The public hearing </w:t>
      </w:r>
      <w:r>
        <w:rPr>
          <w:rFonts w:ascii="Arial" w:hAnsi="Arial"/>
          <w:sz w:val="22"/>
        </w:rPr>
        <w:t>will be held at locations specified in the notice of public hearing.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032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To the extent that anything contained in this Procedural Manual or the </w:t>
      </w:r>
      <w:r w:rsidR="00F532C1">
        <w:rPr>
          <w:rFonts w:ascii="Arial" w:hAnsi="Arial"/>
          <w:sz w:val="22"/>
        </w:rPr>
        <w:t xml:space="preserve">QAP </w:t>
      </w:r>
      <w:r>
        <w:rPr>
          <w:rFonts w:ascii="Arial" w:hAnsi="Arial"/>
          <w:sz w:val="22"/>
        </w:rPr>
        <w:t>does not m</w:t>
      </w:r>
      <w:r w:rsidR="008C5B2B">
        <w:rPr>
          <w:rFonts w:ascii="Arial" w:hAnsi="Arial"/>
          <w:sz w:val="22"/>
        </w:rPr>
        <w:t xml:space="preserve">eet the minimum requirements </w:t>
      </w:r>
      <w:r w:rsidR="001E12F9">
        <w:rPr>
          <w:rFonts w:ascii="Arial" w:hAnsi="Arial"/>
          <w:sz w:val="22"/>
        </w:rPr>
        <w:t xml:space="preserve">of </w:t>
      </w:r>
      <w:r w:rsidR="008C5B2B">
        <w:rPr>
          <w:rFonts w:ascii="Arial" w:hAnsi="Arial"/>
          <w:sz w:val="22"/>
        </w:rPr>
        <w:t xml:space="preserve">Section 42 </w:t>
      </w:r>
      <w:r w:rsidR="009E129E">
        <w:rPr>
          <w:rFonts w:ascii="Arial" w:hAnsi="Arial"/>
          <w:sz w:val="22"/>
        </w:rPr>
        <w:t xml:space="preserve">of the Code </w:t>
      </w:r>
      <w:r w:rsidR="008C5B2B">
        <w:rPr>
          <w:rFonts w:ascii="Arial" w:hAnsi="Arial"/>
          <w:sz w:val="22"/>
        </w:rPr>
        <w:t>or the Treasury Regulations</w:t>
      </w:r>
      <w:r>
        <w:rPr>
          <w:rFonts w:ascii="Arial" w:hAnsi="Arial"/>
          <w:sz w:val="22"/>
        </w:rPr>
        <w:t>, such law or regulation shall take precedence.</w:t>
      </w:r>
    </w:p>
    <w:p w:rsidR="005F6082" w:rsidRPr="00E03091" w:rsidRDefault="00FB6C5E" w:rsidP="00F7518F">
      <w:pPr>
        <w:pStyle w:val="Heading1"/>
        <w:spacing w:after="0"/>
        <w:rPr>
          <w:rFonts w:ascii="Arial" w:hAnsi="Arial"/>
          <w:sz w:val="22"/>
        </w:rPr>
      </w:pPr>
      <w:bookmarkStart w:id="24" w:name="_Toc511903003"/>
      <w:r>
        <w:rPr>
          <w:rFonts w:ascii="Arial" w:hAnsi="Arial"/>
          <w:sz w:val="22"/>
        </w:rPr>
        <w:t>IV.</w:t>
      </w:r>
      <w:r>
        <w:rPr>
          <w:rFonts w:ascii="Arial" w:hAnsi="Arial"/>
          <w:sz w:val="22"/>
        </w:rPr>
        <w:tab/>
      </w:r>
      <w:r w:rsidR="00BD7596">
        <w:rPr>
          <w:rFonts w:ascii="Arial" w:hAnsi="Arial"/>
          <w:sz w:val="22"/>
        </w:rPr>
        <w:t>HTC</w:t>
      </w:r>
      <w:r w:rsidR="00C05A0B">
        <w:rPr>
          <w:rFonts w:ascii="Arial" w:hAnsi="Arial"/>
          <w:sz w:val="22"/>
        </w:rPr>
        <w:t xml:space="preserve"> </w:t>
      </w:r>
      <w:r w:rsidR="005F6082" w:rsidRPr="00E03091">
        <w:rPr>
          <w:rFonts w:ascii="Arial" w:hAnsi="Arial"/>
          <w:sz w:val="22"/>
        </w:rPr>
        <w:t>PROGRAM REQUIREMENTS</w:t>
      </w:r>
      <w:r w:rsidR="005F6082" w:rsidRPr="00E03091">
        <w:rPr>
          <w:rFonts w:ascii="Arial" w:hAnsi="Arial"/>
          <w:sz w:val="22"/>
        </w:rPr>
        <w:fldChar w:fldCharType="begin"/>
      </w:r>
      <w:r w:rsidR="005F6082" w:rsidRPr="00E03091">
        <w:rPr>
          <w:rFonts w:ascii="Arial" w:hAnsi="Arial"/>
          <w:sz w:val="22"/>
        </w:rPr>
        <w:instrText>tc \l1 "IV.</w:instrText>
      </w:r>
      <w:r w:rsidR="005F6082" w:rsidRPr="00E03091">
        <w:rPr>
          <w:rFonts w:ascii="Arial" w:hAnsi="Arial"/>
          <w:sz w:val="22"/>
        </w:rPr>
        <w:tab/>
        <w:instrText>FEDERAL PROGRAM REQUIREMENTS</w:instrText>
      </w:r>
      <w:r w:rsidR="005F6082" w:rsidRPr="00E03091">
        <w:rPr>
          <w:rFonts w:ascii="Arial" w:hAnsi="Arial"/>
          <w:sz w:val="22"/>
        </w:rPr>
        <w:fldChar w:fldCharType="end"/>
      </w:r>
      <w:bookmarkEnd w:id="24"/>
    </w:p>
    <w:p w:rsidR="005F6082" w:rsidRPr="00E03091" w:rsidRDefault="005F6082" w:rsidP="00F7518F">
      <w:pPr>
        <w:pStyle w:val="Heading2"/>
        <w:spacing w:after="0"/>
        <w:ind w:left="720"/>
        <w:rPr>
          <w:rFonts w:ascii="Arial" w:hAnsi="Arial"/>
          <w:i w:val="0"/>
          <w:sz w:val="22"/>
        </w:rPr>
      </w:pPr>
      <w:bookmarkStart w:id="25" w:name="_Toc511903004"/>
      <w:r w:rsidRPr="00E03091">
        <w:rPr>
          <w:rFonts w:ascii="Arial" w:hAnsi="Arial"/>
          <w:i w:val="0"/>
          <w:sz w:val="22"/>
        </w:rPr>
        <w:t>A.</w:t>
      </w:r>
      <w:r w:rsidRPr="00E03091">
        <w:rPr>
          <w:rFonts w:ascii="Arial" w:hAnsi="Arial"/>
          <w:i w:val="0"/>
          <w:sz w:val="22"/>
        </w:rPr>
        <w:tab/>
        <w:t>Eligible Activities</w:t>
      </w:r>
      <w:r w:rsidRPr="00E03091">
        <w:rPr>
          <w:rFonts w:ascii="Arial" w:hAnsi="Arial"/>
          <w:i w:val="0"/>
          <w:sz w:val="22"/>
        </w:rPr>
        <w:fldChar w:fldCharType="begin"/>
      </w:r>
      <w:r w:rsidRPr="00E03091">
        <w:rPr>
          <w:rFonts w:ascii="Arial" w:hAnsi="Arial"/>
          <w:i w:val="0"/>
          <w:sz w:val="22"/>
        </w:rPr>
        <w:instrText>tc \l2 "A.</w:instrText>
      </w:r>
      <w:r w:rsidRPr="00E03091">
        <w:rPr>
          <w:rFonts w:ascii="Arial" w:hAnsi="Arial"/>
          <w:i w:val="0"/>
          <w:sz w:val="22"/>
        </w:rPr>
        <w:tab/>
        <w:instrText>Eligible Activities</w:instrText>
      </w:r>
      <w:r w:rsidRPr="00E03091">
        <w:rPr>
          <w:rFonts w:ascii="Arial" w:hAnsi="Arial"/>
          <w:i w:val="0"/>
          <w:sz w:val="22"/>
        </w:rPr>
        <w:fldChar w:fldCharType="end"/>
      </w:r>
      <w:bookmarkEnd w:id="25"/>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FA5E23"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Eligible activities for </w:t>
      </w:r>
      <w:r w:rsidR="00600022">
        <w:rPr>
          <w:rFonts w:ascii="Arial" w:hAnsi="Arial" w:cs="Arial"/>
          <w:sz w:val="22"/>
          <w:szCs w:val="22"/>
        </w:rPr>
        <w:t>HTC</w:t>
      </w:r>
      <w:r>
        <w:rPr>
          <w:rFonts w:ascii="Arial" w:hAnsi="Arial"/>
          <w:sz w:val="22"/>
        </w:rPr>
        <w:t xml:space="preserve"> include new construction, or acquisition with substantial rehabilitation</w:t>
      </w:r>
      <w:r w:rsidR="00905541">
        <w:rPr>
          <w:rFonts w:ascii="Arial" w:hAnsi="Arial"/>
          <w:sz w:val="22"/>
        </w:rPr>
        <w:t xml:space="preserve"> as required by Section 42 of the Code</w:t>
      </w:r>
      <w:r>
        <w:rPr>
          <w:rFonts w:ascii="Arial" w:hAnsi="Arial"/>
          <w:sz w:val="22"/>
        </w:rPr>
        <w:t>.</w:t>
      </w:r>
    </w:p>
    <w:p w:rsidR="001A6D81" w:rsidRDefault="005F6082" w:rsidP="00F7518F">
      <w:pPr>
        <w:pStyle w:val="Heading2"/>
        <w:spacing w:before="120" w:after="0"/>
        <w:ind w:left="720"/>
        <w:rPr>
          <w:rFonts w:ascii="Arial" w:hAnsi="Arial"/>
          <w:i w:val="0"/>
          <w:sz w:val="22"/>
        </w:rPr>
      </w:pPr>
      <w:bookmarkStart w:id="26" w:name="_Toc511903005"/>
      <w:r w:rsidRPr="00E03091">
        <w:rPr>
          <w:rFonts w:ascii="Arial" w:hAnsi="Arial"/>
          <w:i w:val="0"/>
          <w:sz w:val="22"/>
        </w:rPr>
        <w:t>B.</w:t>
      </w:r>
      <w:r w:rsidRPr="00E03091">
        <w:rPr>
          <w:rFonts w:ascii="Arial" w:hAnsi="Arial"/>
          <w:i w:val="0"/>
          <w:sz w:val="22"/>
        </w:rPr>
        <w:tab/>
        <w:t>Applicable Percentage</w:t>
      </w:r>
    </w:p>
    <w:p w:rsidR="005F6082" w:rsidRPr="00E03091" w:rsidRDefault="005F6082" w:rsidP="00F7518F">
      <w:pPr>
        <w:pStyle w:val="Heading2"/>
        <w:spacing w:before="120" w:after="0"/>
        <w:ind w:left="720"/>
        <w:rPr>
          <w:rFonts w:ascii="Arial" w:hAnsi="Arial"/>
          <w:i w:val="0"/>
          <w:sz w:val="22"/>
        </w:rPr>
      </w:pPr>
      <w:r w:rsidRPr="00E03091">
        <w:rPr>
          <w:rFonts w:ascii="Arial" w:hAnsi="Arial"/>
          <w:i w:val="0"/>
          <w:sz w:val="22"/>
        </w:rPr>
        <w:fldChar w:fldCharType="begin"/>
      </w:r>
      <w:r w:rsidRPr="00E03091">
        <w:rPr>
          <w:rFonts w:ascii="Arial" w:hAnsi="Arial"/>
          <w:i w:val="0"/>
          <w:sz w:val="22"/>
        </w:rPr>
        <w:instrText>tc \l2 "B.</w:instrText>
      </w:r>
      <w:r w:rsidRPr="00E03091">
        <w:rPr>
          <w:rFonts w:ascii="Arial" w:hAnsi="Arial"/>
          <w:i w:val="0"/>
          <w:sz w:val="22"/>
        </w:rPr>
        <w:tab/>
        <w:instrText>Applicable Percentage</w:instrText>
      </w:r>
      <w:r w:rsidRPr="00E03091">
        <w:rPr>
          <w:rFonts w:ascii="Arial" w:hAnsi="Arial"/>
          <w:i w:val="0"/>
          <w:sz w:val="22"/>
        </w:rPr>
        <w:fldChar w:fldCharType="end"/>
      </w:r>
      <w:bookmarkEnd w:id="26"/>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There are two levels of applicable percentage</w:t>
      </w:r>
      <w:r w:rsidR="001A6D81">
        <w:rPr>
          <w:rFonts w:ascii="Arial" w:hAnsi="Arial"/>
          <w:sz w:val="22"/>
        </w:rPr>
        <w:t>s</w:t>
      </w:r>
      <w:r>
        <w:rPr>
          <w:rFonts w:ascii="Arial" w:hAnsi="Arial"/>
          <w:sz w:val="22"/>
        </w:rPr>
        <w:t xml:space="preserve"> depending upon whether the building is new or existing, whether there are rehabilitation expenditures</w:t>
      </w:r>
      <w:r w:rsidR="00F532C1">
        <w:rPr>
          <w:rFonts w:ascii="Arial" w:hAnsi="Arial"/>
          <w:sz w:val="22"/>
        </w:rPr>
        <w:t xml:space="preserve"> and whether the buildings are financed with tax exempt bonds</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i/>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i/>
          <w:sz w:val="22"/>
        </w:rPr>
        <w:t xml:space="preserve">New Buildings and </w:t>
      </w:r>
      <w:r w:rsidR="001A6D81">
        <w:rPr>
          <w:rFonts w:ascii="Arial" w:hAnsi="Arial"/>
          <w:i/>
          <w:sz w:val="22"/>
        </w:rPr>
        <w:t>Substantial</w:t>
      </w:r>
      <w:r>
        <w:rPr>
          <w:rFonts w:ascii="Arial" w:hAnsi="Arial"/>
          <w:i/>
          <w:sz w:val="22"/>
        </w:rPr>
        <w:t xml:space="preserve"> Rehabilitation Expenditures (if neither is </w:t>
      </w:r>
      <w:r w:rsidR="009F1477">
        <w:rPr>
          <w:rFonts w:ascii="Arial" w:hAnsi="Arial"/>
          <w:i/>
          <w:sz w:val="22"/>
        </w:rPr>
        <w:t>financed with tax exempt bonds</w:t>
      </w:r>
      <w:r>
        <w:rPr>
          <w:rFonts w:ascii="Arial" w:hAnsi="Arial"/>
          <w:i/>
          <w:sz w:val="22"/>
        </w:rPr>
        <w:t>)</w:t>
      </w:r>
      <w:r w:rsidR="00FB6C5E">
        <w:rPr>
          <w:rFonts w:ascii="Arial" w:hAnsi="Arial"/>
          <w:sz w:val="22"/>
        </w:rPr>
        <w:t>:  N</w:t>
      </w:r>
      <w:r>
        <w:rPr>
          <w:rFonts w:ascii="Arial" w:hAnsi="Arial"/>
          <w:sz w:val="22"/>
        </w:rPr>
        <w:t>ew buildings or qualifying rehabilitation whic</w:t>
      </w:r>
      <w:r w:rsidR="00FB6C5E">
        <w:rPr>
          <w:rFonts w:ascii="Arial" w:hAnsi="Arial"/>
          <w:sz w:val="22"/>
        </w:rPr>
        <w:t xml:space="preserve">h are not </w:t>
      </w:r>
      <w:r w:rsidR="009F1477">
        <w:rPr>
          <w:rFonts w:ascii="Arial" w:hAnsi="Arial"/>
          <w:sz w:val="22"/>
        </w:rPr>
        <w:t xml:space="preserve">financed with tax exempt bonds are eligible for the 9% </w:t>
      </w:r>
      <w:r w:rsidR="00FB6C5E">
        <w:rPr>
          <w:rFonts w:ascii="Arial" w:hAnsi="Arial"/>
          <w:sz w:val="22"/>
        </w:rPr>
        <w:t>HTC</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i/>
          <w:sz w:val="22"/>
        </w:rPr>
        <w:t xml:space="preserve">New Buildings and Qualifying Rehabilitation Expenditures Which are </w:t>
      </w:r>
      <w:r w:rsidR="008C5B2B">
        <w:rPr>
          <w:rFonts w:ascii="Arial" w:hAnsi="Arial"/>
          <w:i/>
          <w:sz w:val="22"/>
        </w:rPr>
        <w:t xml:space="preserve">Financed </w:t>
      </w:r>
      <w:r w:rsidR="008C5B2B">
        <w:rPr>
          <w:rFonts w:ascii="Arial" w:hAnsi="Arial"/>
          <w:i/>
          <w:sz w:val="22"/>
        </w:rPr>
        <w:lastRenderedPageBreak/>
        <w:t>with Tax Exempt Bonds</w:t>
      </w:r>
      <w:r>
        <w:rPr>
          <w:rFonts w:ascii="Arial" w:hAnsi="Arial"/>
          <w:i/>
          <w:sz w:val="22"/>
        </w:rPr>
        <w:t xml:space="preserve"> and Existing Buildings:</w:t>
      </w:r>
      <w:r>
        <w:rPr>
          <w:rFonts w:ascii="Arial" w:hAnsi="Arial"/>
          <w:sz w:val="22"/>
        </w:rPr>
        <w:t xml:space="preserve">  With respect to new buildings and </w:t>
      </w:r>
      <w:r w:rsidR="001A6D81">
        <w:rPr>
          <w:rFonts w:ascii="Arial" w:hAnsi="Arial"/>
          <w:sz w:val="22"/>
        </w:rPr>
        <w:t>substantial</w:t>
      </w:r>
      <w:r>
        <w:rPr>
          <w:rFonts w:ascii="Arial" w:hAnsi="Arial"/>
          <w:sz w:val="22"/>
        </w:rPr>
        <w:t xml:space="preserve"> rehabilitation which are </w:t>
      </w:r>
      <w:r w:rsidR="008C5B2B">
        <w:rPr>
          <w:rFonts w:ascii="Arial" w:hAnsi="Arial"/>
          <w:sz w:val="22"/>
        </w:rPr>
        <w:t>financed with tax exempt bonds</w:t>
      </w:r>
      <w:r>
        <w:rPr>
          <w:rFonts w:ascii="Arial" w:hAnsi="Arial"/>
          <w:sz w:val="22"/>
        </w:rPr>
        <w:t xml:space="preserve">, and with respect to the acquisition of existing buildings that are substantially rehabilitated, the applicable percentage is an amount which results in aggregate </w:t>
      </w:r>
      <w:r w:rsidR="008C5B2B">
        <w:rPr>
          <w:rFonts w:ascii="Arial" w:hAnsi="Arial"/>
          <w:sz w:val="22"/>
        </w:rPr>
        <w:t>HTC</w:t>
      </w:r>
      <w:r>
        <w:rPr>
          <w:rFonts w:ascii="Arial" w:hAnsi="Arial"/>
          <w:sz w:val="22"/>
        </w:rPr>
        <w:t xml:space="preserve"> having a present value of 30 percent of qualified basis.  Traditionally, this has resulted in a credit percentage of approximately four-percent.</w:t>
      </w:r>
    </w:p>
    <w:p w:rsidR="00F7518F" w:rsidRDefault="00F751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CE7085" w:rsidP="00F751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i/>
          <w:sz w:val="22"/>
        </w:rPr>
        <w:t xml:space="preserve">Substantial </w:t>
      </w:r>
      <w:r w:rsidR="005F6082">
        <w:rPr>
          <w:rFonts w:ascii="Arial" w:hAnsi="Arial"/>
          <w:i/>
          <w:sz w:val="22"/>
        </w:rPr>
        <w:t>Rehabilitation:</w:t>
      </w:r>
      <w:r w:rsidR="005F6082">
        <w:rPr>
          <w:rFonts w:ascii="Arial" w:hAnsi="Arial"/>
          <w:sz w:val="22"/>
        </w:rPr>
        <w:t xml:space="preserve">  Rehabilitation expenditures qualify for the </w:t>
      </w:r>
      <w:r w:rsidR="00600022">
        <w:rPr>
          <w:rFonts w:ascii="Arial" w:hAnsi="Arial" w:cs="Arial"/>
          <w:sz w:val="22"/>
          <w:szCs w:val="22"/>
        </w:rPr>
        <w:t>HTC</w:t>
      </w:r>
      <w:r w:rsidR="005F6082">
        <w:rPr>
          <w:rFonts w:ascii="Arial" w:hAnsi="Arial"/>
          <w:sz w:val="22"/>
        </w:rPr>
        <w:t xml:space="preserve"> if the expenditures:</w:t>
      </w:r>
    </w:p>
    <w:p w:rsidR="00F7518F" w:rsidRDefault="00F7518F" w:rsidP="00F751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F7518F" w:rsidRDefault="00874310" w:rsidP="00874310">
      <w:pPr>
        <w:ind w:left="2160" w:hanging="720"/>
        <w:jc w:val="both"/>
        <w:rPr>
          <w:rFonts w:ascii="Arial" w:hAnsi="Arial"/>
          <w:sz w:val="22"/>
        </w:rPr>
      </w:pPr>
      <w:r>
        <w:rPr>
          <w:rFonts w:ascii="Arial" w:hAnsi="Arial"/>
          <w:sz w:val="22"/>
        </w:rPr>
        <w:t>(1)</w:t>
      </w:r>
      <w:r>
        <w:rPr>
          <w:rFonts w:ascii="Arial" w:hAnsi="Arial"/>
          <w:sz w:val="22"/>
        </w:rPr>
        <w:tab/>
      </w:r>
      <w:r w:rsidR="00CE7085">
        <w:rPr>
          <w:rFonts w:ascii="Arial" w:hAnsi="Arial"/>
          <w:sz w:val="22"/>
        </w:rPr>
        <w:t>an average qualified basis amount per low income unit for a building which meets the inflation adjusted amount published by the IRS annually in accordance with Section 42(e)(3)(D); or</w:t>
      </w:r>
    </w:p>
    <w:p w:rsidR="00CE7085" w:rsidRDefault="00CE7085" w:rsidP="00874310">
      <w:pPr>
        <w:ind w:left="2160" w:hanging="720"/>
        <w:jc w:val="both"/>
        <w:rPr>
          <w:rFonts w:ascii="Arial" w:hAnsi="Arial"/>
          <w:sz w:val="22"/>
        </w:rPr>
      </w:pPr>
    </w:p>
    <w:p w:rsidR="00F7518F" w:rsidRDefault="00F7518F" w:rsidP="00874310">
      <w:pPr>
        <w:ind w:left="2160" w:hanging="720"/>
        <w:jc w:val="both"/>
        <w:rPr>
          <w:rFonts w:ascii="Arial" w:hAnsi="Arial"/>
          <w:sz w:val="22"/>
        </w:rPr>
      </w:pPr>
    </w:p>
    <w:p w:rsidR="00CE7085" w:rsidRDefault="00874310" w:rsidP="00874310">
      <w:pPr>
        <w:ind w:left="2160" w:hanging="720"/>
        <w:jc w:val="both"/>
        <w:rPr>
          <w:rFonts w:ascii="Arial" w:hAnsi="Arial"/>
          <w:sz w:val="22"/>
        </w:rPr>
      </w:pPr>
      <w:r>
        <w:rPr>
          <w:rFonts w:ascii="Arial" w:hAnsi="Arial"/>
          <w:sz w:val="22"/>
        </w:rPr>
        <w:t>(2)</w:t>
      </w:r>
      <w:r>
        <w:rPr>
          <w:rFonts w:ascii="Arial" w:hAnsi="Arial"/>
          <w:sz w:val="22"/>
        </w:rPr>
        <w:tab/>
      </w:r>
      <w:r w:rsidR="00CE7085">
        <w:rPr>
          <w:rFonts w:ascii="Arial" w:hAnsi="Arial"/>
          <w:sz w:val="22"/>
        </w:rPr>
        <w:t>an amount that is not less than 20 percent of the adjusted basis of the building, as determined pursuant to Section 42(e)(3) of the Code.</w:t>
      </w:r>
    </w:p>
    <w:p w:rsidR="00CE7085" w:rsidRDefault="00CE7085" w:rsidP="00874310">
      <w:pPr>
        <w:ind w:left="2160" w:hanging="720"/>
        <w:jc w:val="both"/>
        <w:rPr>
          <w:rFonts w:ascii="Arial" w:hAnsi="Arial"/>
          <w:sz w:val="22"/>
        </w:rPr>
      </w:pPr>
    </w:p>
    <w:p w:rsidR="00CE7085" w:rsidRDefault="00CE7085" w:rsidP="00CE7085">
      <w:pPr>
        <w:ind w:left="1440"/>
        <w:jc w:val="both"/>
        <w:rPr>
          <w:rFonts w:ascii="Arial" w:hAnsi="Arial"/>
          <w:sz w:val="22"/>
        </w:rPr>
      </w:pPr>
      <w:r>
        <w:rPr>
          <w:rFonts w:ascii="Arial" w:hAnsi="Arial"/>
          <w:sz w:val="22"/>
        </w:rPr>
        <w:t>In addition to the Code Section 42(e) requirements, Section 462A.221, Subdivision 5 of the Act requires rehabilitation expenditures of at least an average of $5,000 per unit.</w:t>
      </w:r>
    </w:p>
    <w:p w:rsidR="00CE7085" w:rsidRDefault="00CE7085" w:rsidP="00CE708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Pr="00400822" w:rsidRDefault="00400822" w:rsidP="00032F0D">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400822">
        <w:rPr>
          <w:rFonts w:ascii="Arial" w:hAnsi="Arial"/>
          <w:sz w:val="22"/>
        </w:rPr>
        <w:t>I</w:t>
      </w:r>
      <w:r w:rsidR="005F6082" w:rsidRPr="00400822">
        <w:rPr>
          <w:rFonts w:ascii="Arial" w:hAnsi="Arial"/>
          <w:sz w:val="22"/>
        </w:rPr>
        <w:t xml:space="preserve">n the case of </w:t>
      </w:r>
      <w:r w:rsidRPr="00400822">
        <w:rPr>
          <w:rFonts w:ascii="Arial" w:hAnsi="Arial"/>
          <w:sz w:val="22"/>
        </w:rPr>
        <w:t xml:space="preserve">an </w:t>
      </w:r>
      <w:r w:rsidR="005F6082" w:rsidRPr="00400822">
        <w:rPr>
          <w:rFonts w:ascii="Arial" w:hAnsi="Arial"/>
          <w:sz w:val="22"/>
        </w:rPr>
        <w:t>acquisition and rehabilitation</w:t>
      </w:r>
      <w:r w:rsidRPr="00400822">
        <w:rPr>
          <w:rFonts w:ascii="Arial" w:hAnsi="Arial"/>
          <w:sz w:val="22"/>
        </w:rPr>
        <w:t xml:space="preserve"> project</w:t>
      </w:r>
      <w:r w:rsidR="00CE7085">
        <w:rPr>
          <w:rFonts w:ascii="Arial" w:hAnsi="Arial"/>
          <w:sz w:val="22"/>
        </w:rPr>
        <w:t xml:space="preserve">, the cost of acquiring the </w:t>
      </w:r>
      <w:r w:rsidR="005F6082" w:rsidRPr="00400822">
        <w:rPr>
          <w:rFonts w:ascii="Arial" w:hAnsi="Arial"/>
          <w:sz w:val="22"/>
        </w:rPr>
        <w:t>existing b</w:t>
      </w:r>
      <w:r w:rsidR="00CE7085">
        <w:rPr>
          <w:rFonts w:ascii="Arial" w:hAnsi="Arial"/>
          <w:sz w:val="22"/>
        </w:rPr>
        <w:t xml:space="preserve">uilding may be eligible for </w:t>
      </w:r>
      <w:r>
        <w:rPr>
          <w:rFonts w:ascii="Arial" w:hAnsi="Arial"/>
          <w:sz w:val="22"/>
        </w:rPr>
        <w:t>HTC</w:t>
      </w:r>
      <w:r w:rsidR="005F6082" w:rsidRPr="0040082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40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i/>
          <w:sz w:val="22"/>
        </w:rPr>
        <w:t>Existing Buildings:</w:t>
      </w:r>
      <w:r>
        <w:rPr>
          <w:rFonts w:ascii="Arial" w:hAnsi="Arial"/>
          <w:sz w:val="22"/>
        </w:rPr>
        <w:t xml:space="preserve">  In order for an exist</w:t>
      </w:r>
      <w:r w:rsidR="00CE7085">
        <w:rPr>
          <w:rFonts w:ascii="Arial" w:hAnsi="Arial"/>
          <w:sz w:val="22"/>
        </w:rPr>
        <w:t xml:space="preserve">ing building to qualify for </w:t>
      </w:r>
      <w:r w:rsidR="00400822">
        <w:rPr>
          <w:rFonts w:ascii="Arial" w:hAnsi="Arial"/>
          <w:sz w:val="22"/>
        </w:rPr>
        <w:t>HTC</w:t>
      </w:r>
      <w:r>
        <w:rPr>
          <w:rFonts w:ascii="Arial" w:hAnsi="Arial"/>
          <w:sz w:val="22"/>
        </w:rPr>
        <w:t xml:space="preserve"> in connection with </w:t>
      </w:r>
      <w:r w:rsidR="00600022">
        <w:rPr>
          <w:rFonts w:ascii="Arial" w:hAnsi="Arial"/>
          <w:sz w:val="22"/>
        </w:rPr>
        <w:t xml:space="preserve">a </w:t>
      </w:r>
      <w:r w:rsidR="001A6D81">
        <w:rPr>
          <w:rFonts w:ascii="Arial" w:hAnsi="Arial"/>
          <w:sz w:val="22"/>
        </w:rPr>
        <w:t>Substantial R</w:t>
      </w:r>
      <w:r>
        <w:rPr>
          <w:rFonts w:ascii="Arial" w:hAnsi="Arial"/>
          <w:sz w:val="22"/>
        </w:rPr>
        <w:t xml:space="preserve">ehabilitation, there must have been a period of at least 10 years, between the date the building was acquired </w:t>
      </w:r>
      <w:r w:rsidR="00400822">
        <w:rPr>
          <w:rFonts w:ascii="Arial" w:hAnsi="Arial"/>
          <w:sz w:val="22"/>
        </w:rPr>
        <w:t>by purchase and t</w:t>
      </w:r>
      <w:r>
        <w:rPr>
          <w:rFonts w:ascii="Arial" w:hAnsi="Arial"/>
          <w:sz w:val="22"/>
        </w:rPr>
        <w:t>he date i</w:t>
      </w:r>
      <w:r w:rsidR="00400822">
        <w:rPr>
          <w:rFonts w:ascii="Arial" w:hAnsi="Arial"/>
          <w:sz w:val="22"/>
        </w:rPr>
        <w:t>t was last placed in service.</w:t>
      </w:r>
    </w:p>
    <w:p w:rsidR="005F6082" w:rsidRDefault="005F6082" w:rsidP="0040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Pr="001E12F9"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1E12F9">
        <w:rPr>
          <w:rFonts w:ascii="Arial" w:hAnsi="Arial"/>
          <w:sz w:val="22"/>
        </w:rPr>
        <w:t xml:space="preserve">Exceptions to the 10-year rule are provided in Section 42(d)(6) </w:t>
      </w:r>
      <w:r w:rsidR="009E129E">
        <w:rPr>
          <w:rFonts w:ascii="Arial" w:hAnsi="Arial"/>
          <w:sz w:val="22"/>
        </w:rPr>
        <w:t xml:space="preserve">of the Code </w:t>
      </w:r>
      <w:r w:rsidR="00C2373F" w:rsidRPr="001E12F9">
        <w:rPr>
          <w:rFonts w:ascii="Arial" w:hAnsi="Arial"/>
          <w:sz w:val="22"/>
        </w:rPr>
        <w:t xml:space="preserve">and include </w:t>
      </w:r>
      <w:r w:rsidRPr="001E12F9">
        <w:rPr>
          <w:rFonts w:ascii="Arial" w:hAnsi="Arial"/>
          <w:sz w:val="22"/>
        </w:rPr>
        <w:t xml:space="preserve"> federally </w:t>
      </w:r>
      <w:r w:rsidR="00C2373F" w:rsidRPr="001E12F9">
        <w:rPr>
          <w:rFonts w:ascii="Arial" w:hAnsi="Arial"/>
          <w:sz w:val="22"/>
        </w:rPr>
        <w:t xml:space="preserve">and state </w:t>
      </w:r>
      <w:r w:rsidRPr="001E12F9">
        <w:rPr>
          <w:rFonts w:ascii="Arial" w:hAnsi="Arial"/>
          <w:sz w:val="22"/>
        </w:rPr>
        <w:t>assisted buildings, certain low income buildings subject to mortgage prepayment, and buildings acquired from insured financial institutions in default.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23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C2373F">
        <w:rPr>
          <w:rFonts w:ascii="Arial" w:hAnsi="Arial"/>
          <w:i/>
          <w:sz w:val="22"/>
        </w:rPr>
        <w:t>Grants</w:t>
      </w:r>
      <w:r>
        <w:rPr>
          <w:rFonts w:ascii="Arial" w:hAnsi="Arial"/>
          <w:sz w:val="22"/>
        </w:rPr>
        <w:t xml:space="preserve">: </w:t>
      </w:r>
      <w:r w:rsidR="005F6082">
        <w:rPr>
          <w:rFonts w:ascii="Arial" w:hAnsi="Arial"/>
          <w:sz w:val="22"/>
        </w:rPr>
        <w:t xml:space="preserve">Federal grants are excluded from </w:t>
      </w:r>
      <w:r w:rsidR="00600022">
        <w:rPr>
          <w:rFonts w:ascii="Arial" w:hAnsi="Arial"/>
          <w:sz w:val="22"/>
        </w:rPr>
        <w:t xml:space="preserve">eligible </w:t>
      </w:r>
      <w:r w:rsidR="005F6082">
        <w:rPr>
          <w:rFonts w:ascii="Arial" w:hAnsi="Arial"/>
          <w:sz w:val="22"/>
        </w:rPr>
        <w:t xml:space="preserve">basis in determining the amount of </w:t>
      </w:r>
      <w:r w:rsidR="00600022">
        <w:rPr>
          <w:rFonts w:ascii="Arial" w:hAnsi="Arial" w:cs="Arial"/>
          <w:sz w:val="22"/>
          <w:szCs w:val="22"/>
        </w:rPr>
        <w:t>HTC</w:t>
      </w:r>
      <w:r w:rsidR="005F6082">
        <w:rPr>
          <w:rFonts w:ascii="Arial" w:hAnsi="Arial"/>
          <w:sz w:val="22"/>
        </w:rPr>
        <w:t xml:space="preserve">, but do not otherwise affect the availability or amount of the </w:t>
      </w:r>
      <w:r w:rsidR="00600022">
        <w:rPr>
          <w:rFonts w:ascii="Arial" w:hAnsi="Arial" w:cs="Arial"/>
          <w:sz w:val="22"/>
          <w:szCs w:val="22"/>
        </w:rPr>
        <w:t>HTC</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Owners of a property receiving a federal subsidy have the option of treating the subsidy amount as if it were a federal grant and deducting the amount of the subsidy from the</w:t>
      </w:r>
      <w:r w:rsidR="001E12F9">
        <w:rPr>
          <w:rFonts w:ascii="Arial" w:hAnsi="Arial"/>
          <w:sz w:val="22"/>
        </w:rPr>
        <w:t xml:space="preserve"> qualified basis</w:t>
      </w:r>
      <w:r>
        <w:rPr>
          <w:rFonts w:ascii="Arial" w:hAnsi="Arial"/>
          <w:sz w:val="22"/>
        </w:rPr>
        <w:t>.</w:t>
      </w:r>
    </w:p>
    <w:p w:rsidR="005F6082" w:rsidRDefault="005F6082" w:rsidP="00362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0931B6" w:rsidRPr="003629E9" w:rsidRDefault="000931B6" w:rsidP="00362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3629E9">
        <w:rPr>
          <w:rFonts w:ascii="Arial" w:hAnsi="Arial"/>
          <w:sz w:val="22"/>
        </w:rPr>
        <w:t xml:space="preserve">Applicants are strongly advised to consult closely with their tax credit professionals (legal and tax) for guidance with respect to structuring a project to </w:t>
      </w:r>
      <w:r w:rsidR="00CE7085">
        <w:rPr>
          <w:rFonts w:ascii="Arial" w:hAnsi="Arial"/>
          <w:sz w:val="22"/>
        </w:rPr>
        <w:t xml:space="preserve">use either the 9% HTC or the 4% </w:t>
      </w:r>
      <w:r w:rsidR="00C2373F">
        <w:rPr>
          <w:rFonts w:ascii="Arial" w:hAnsi="Arial"/>
          <w:sz w:val="22"/>
        </w:rPr>
        <w:t>HTC</w:t>
      </w:r>
      <w:r w:rsidRPr="003629E9">
        <w:rPr>
          <w:rFonts w:ascii="Arial" w:hAnsi="Arial"/>
          <w:sz w:val="22"/>
        </w:rPr>
        <w:t xml:space="preserve">. </w:t>
      </w:r>
    </w:p>
    <w:p w:rsidR="005F6082" w:rsidRPr="00E03091" w:rsidRDefault="005F6082" w:rsidP="003A14BA">
      <w:pPr>
        <w:pStyle w:val="Heading2"/>
        <w:ind w:left="720"/>
        <w:rPr>
          <w:rFonts w:ascii="Arial" w:hAnsi="Arial"/>
          <w:i w:val="0"/>
          <w:sz w:val="22"/>
        </w:rPr>
      </w:pPr>
      <w:bookmarkStart w:id="27" w:name="_Toc511903006"/>
      <w:r w:rsidRPr="00E03091">
        <w:rPr>
          <w:rFonts w:ascii="Arial" w:hAnsi="Arial"/>
          <w:i w:val="0"/>
          <w:sz w:val="22"/>
        </w:rPr>
        <w:lastRenderedPageBreak/>
        <w:t>C.</w:t>
      </w:r>
      <w:r w:rsidRPr="00E03091">
        <w:rPr>
          <w:rFonts w:ascii="Arial" w:hAnsi="Arial"/>
          <w:i w:val="0"/>
          <w:sz w:val="22"/>
        </w:rPr>
        <w:tab/>
        <w:t>Review of Federally Assisted Projects</w:t>
      </w:r>
      <w:r w:rsidRPr="00E03091">
        <w:rPr>
          <w:rFonts w:ascii="Arial" w:hAnsi="Arial"/>
          <w:i w:val="0"/>
          <w:sz w:val="22"/>
        </w:rPr>
        <w:fldChar w:fldCharType="begin"/>
      </w:r>
      <w:r w:rsidRPr="00E03091">
        <w:rPr>
          <w:rFonts w:ascii="Arial" w:hAnsi="Arial"/>
          <w:i w:val="0"/>
          <w:sz w:val="22"/>
        </w:rPr>
        <w:instrText>tc \l2 "C.</w:instrText>
      </w:r>
      <w:r w:rsidRPr="00E03091">
        <w:rPr>
          <w:rFonts w:ascii="Arial" w:hAnsi="Arial"/>
          <w:i w:val="0"/>
          <w:sz w:val="22"/>
        </w:rPr>
        <w:tab/>
        <w:instrText>Review of Federally Assisted Projects</w:instrText>
      </w:r>
      <w:r w:rsidRPr="00E03091">
        <w:rPr>
          <w:rFonts w:ascii="Arial" w:hAnsi="Arial"/>
          <w:i w:val="0"/>
          <w:sz w:val="22"/>
        </w:rPr>
        <w:fldChar w:fldCharType="end"/>
      </w:r>
      <w:bookmarkEnd w:id="27"/>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032F0D"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032F0D">
        <w:rPr>
          <w:rFonts w:ascii="Arial" w:hAnsi="Arial"/>
          <w:sz w:val="22"/>
        </w:rPr>
        <w:t>In accordance with the HUD Reform Act of 1989, any project for which assistance is received in any form from the Department of Housing and Urban Development (HUD) must have documents submitted in accordance with HUD Notice H 90-17, or succeeding notices.  A copy of the notice will be provided on request.</w:t>
      </w:r>
    </w:p>
    <w:p w:rsidR="005F6082" w:rsidRPr="00E03091" w:rsidRDefault="005F6082" w:rsidP="003A14BA">
      <w:pPr>
        <w:pStyle w:val="Heading2"/>
        <w:ind w:left="720"/>
        <w:rPr>
          <w:rFonts w:ascii="Arial" w:hAnsi="Arial"/>
          <w:i w:val="0"/>
          <w:sz w:val="22"/>
        </w:rPr>
      </w:pPr>
      <w:bookmarkStart w:id="28" w:name="_Toc511903007"/>
      <w:r w:rsidRPr="00E03091">
        <w:rPr>
          <w:rFonts w:ascii="Arial" w:hAnsi="Arial"/>
          <w:i w:val="0"/>
          <w:sz w:val="22"/>
        </w:rPr>
        <w:t>D.</w:t>
      </w:r>
      <w:r w:rsidRPr="00E03091">
        <w:rPr>
          <w:rFonts w:ascii="Arial" w:hAnsi="Arial"/>
          <w:i w:val="0"/>
          <w:sz w:val="22"/>
        </w:rPr>
        <w:tab/>
        <w:t>Federal Subsidy Layering Review</w:t>
      </w:r>
      <w:r w:rsidRPr="00E03091">
        <w:rPr>
          <w:rFonts w:ascii="Arial" w:hAnsi="Arial"/>
          <w:i w:val="0"/>
          <w:sz w:val="22"/>
        </w:rPr>
        <w:fldChar w:fldCharType="begin"/>
      </w:r>
      <w:r w:rsidRPr="00E03091">
        <w:rPr>
          <w:rFonts w:ascii="Arial" w:hAnsi="Arial"/>
          <w:i w:val="0"/>
          <w:sz w:val="22"/>
        </w:rPr>
        <w:instrText>tc \l2 "D.</w:instrText>
      </w:r>
      <w:r w:rsidRPr="00E03091">
        <w:rPr>
          <w:rFonts w:ascii="Arial" w:hAnsi="Arial"/>
          <w:i w:val="0"/>
          <w:sz w:val="22"/>
        </w:rPr>
        <w:tab/>
        <w:instrText>Federal Subsidy Layering Review</w:instrText>
      </w:r>
      <w:r w:rsidRPr="00E03091">
        <w:rPr>
          <w:rFonts w:ascii="Arial" w:hAnsi="Arial"/>
          <w:i w:val="0"/>
          <w:sz w:val="22"/>
        </w:rPr>
        <w:fldChar w:fldCharType="end"/>
      </w:r>
      <w:bookmarkEnd w:id="28"/>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Section 911 of the Housing and Community Development Act of 1992 requires that specific procedures be followed for </w:t>
      </w:r>
      <w:r w:rsidR="00032F0D">
        <w:rPr>
          <w:rFonts w:ascii="Arial" w:hAnsi="Arial"/>
          <w:sz w:val="22"/>
        </w:rPr>
        <w:t xml:space="preserve">a </w:t>
      </w:r>
      <w:r>
        <w:rPr>
          <w:rFonts w:ascii="Arial" w:hAnsi="Arial"/>
          <w:sz w:val="22"/>
        </w:rPr>
        <w:t xml:space="preserve">subsidy layering review when </w:t>
      </w:r>
      <w:r w:rsidR="00BD7596">
        <w:rPr>
          <w:rFonts w:ascii="Arial" w:hAnsi="Arial"/>
          <w:sz w:val="22"/>
        </w:rPr>
        <w:t>HTC</w:t>
      </w:r>
      <w:r w:rsidR="00C2373F">
        <w:rPr>
          <w:rFonts w:ascii="Arial" w:hAnsi="Arial"/>
          <w:sz w:val="22"/>
        </w:rPr>
        <w:t xml:space="preserve"> </w:t>
      </w:r>
      <w:r>
        <w:rPr>
          <w:rFonts w:ascii="Arial" w:hAnsi="Arial"/>
          <w:sz w:val="22"/>
        </w:rPr>
        <w:t xml:space="preserve">and HUD assistance are combined in a single project.  Sponsors of projects which combine HUD </w:t>
      </w:r>
      <w:r w:rsidR="00032F0D">
        <w:rPr>
          <w:rFonts w:ascii="Arial" w:hAnsi="Arial"/>
          <w:sz w:val="22"/>
        </w:rPr>
        <w:t xml:space="preserve">funding </w:t>
      </w:r>
      <w:r>
        <w:rPr>
          <w:rFonts w:ascii="Arial" w:hAnsi="Arial"/>
          <w:sz w:val="22"/>
        </w:rPr>
        <w:t xml:space="preserve">and </w:t>
      </w:r>
      <w:r w:rsidR="00BD7596">
        <w:rPr>
          <w:rFonts w:ascii="Arial" w:hAnsi="Arial"/>
          <w:sz w:val="22"/>
        </w:rPr>
        <w:t>HTC</w:t>
      </w:r>
      <w:r>
        <w:rPr>
          <w:rFonts w:ascii="Arial" w:hAnsi="Arial"/>
          <w:sz w:val="22"/>
        </w:rPr>
        <w:t xml:space="preserve"> should be aware that </w:t>
      </w:r>
      <w:r w:rsidR="00032F0D">
        <w:rPr>
          <w:rFonts w:ascii="Arial" w:hAnsi="Arial"/>
          <w:sz w:val="22"/>
        </w:rPr>
        <w:t xml:space="preserve">a </w:t>
      </w:r>
      <w:r>
        <w:rPr>
          <w:rFonts w:ascii="Arial" w:hAnsi="Arial"/>
          <w:sz w:val="22"/>
        </w:rPr>
        <w:t xml:space="preserve">subsidy layering review must be completed for their projects and should contact </w:t>
      </w:r>
      <w:r w:rsidR="00894290">
        <w:rPr>
          <w:rFonts w:ascii="Arial" w:hAnsi="Arial"/>
          <w:sz w:val="22"/>
        </w:rPr>
        <w:t>CPED</w:t>
      </w:r>
      <w:r>
        <w:rPr>
          <w:rFonts w:ascii="Arial" w:hAnsi="Arial"/>
          <w:sz w:val="22"/>
        </w:rPr>
        <w:t xml:space="preserve"> or HRA to receive additional information prior to submitting their applications.</w:t>
      </w:r>
    </w:p>
    <w:p w:rsidR="005F6082" w:rsidRPr="00E03091" w:rsidRDefault="005F6082" w:rsidP="00F7518F">
      <w:pPr>
        <w:pStyle w:val="Heading2"/>
        <w:spacing w:after="0"/>
        <w:ind w:left="720"/>
        <w:rPr>
          <w:rFonts w:ascii="Arial" w:hAnsi="Arial"/>
          <w:i w:val="0"/>
          <w:sz w:val="22"/>
        </w:rPr>
      </w:pPr>
      <w:bookmarkStart w:id="29" w:name="_Toc511903008"/>
      <w:r w:rsidRPr="00E03091">
        <w:rPr>
          <w:rFonts w:ascii="Arial" w:hAnsi="Arial"/>
          <w:i w:val="0"/>
          <w:sz w:val="22"/>
        </w:rPr>
        <w:t>E.</w:t>
      </w:r>
      <w:r w:rsidRPr="00E03091">
        <w:rPr>
          <w:rFonts w:ascii="Arial" w:hAnsi="Arial"/>
          <w:i w:val="0"/>
          <w:sz w:val="22"/>
        </w:rPr>
        <w:tab/>
        <w:t>Project Eligibility</w:t>
      </w:r>
      <w:r w:rsidRPr="00E03091">
        <w:rPr>
          <w:rFonts w:ascii="Arial" w:hAnsi="Arial"/>
          <w:i w:val="0"/>
          <w:sz w:val="22"/>
        </w:rPr>
        <w:fldChar w:fldCharType="begin"/>
      </w:r>
      <w:r w:rsidRPr="00E03091">
        <w:rPr>
          <w:rFonts w:ascii="Arial" w:hAnsi="Arial"/>
          <w:i w:val="0"/>
          <w:sz w:val="22"/>
        </w:rPr>
        <w:instrText>tc \l2 "E.</w:instrText>
      </w:r>
      <w:r w:rsidRPr="00E03091">
        <w:rPr>
          <w:rFonts w:ascii="Arial" w:hAnsi="Arial"/>
          <w:i w:val="0"/>
          <w:sz w:val="22"/>
        </w:rPr>
        <w:tab/>
        <w:instrText>Project Eligibility</w:instrText>
      </w:r>
      <w:r w:rsidRPr="00E03091">
        <w:rPr>
          <w:rFonts w:ascii="Arial" w:hAnsi="Arial"/>
          <w:i w:val="0"/>
          <w:sz w:val="22"/>
        </w:rPr>
        <w:fldChar w:fldCharType="end"/>
      </w:r>
      <w:bookmarkEnd w:id="29"/>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purpose of the </w:t>
      </w:r>
      <w:r w:rsidR="00600022">
        <w:rPr>
          <w:rFonts w:ascii="Arial" w:hAnsi="Arial" w:cs="Arial"/>
          <w:sz w:val="22"/>
          <w:szCs w:val="22"/>
        </w:rPr>
        <w:t xml:space="preserve">HTC </w:t>
      </w:r>
      <w:r w:rsidR="001E12F9">
        <w:rPr>
          <w:rFonts w:ascii="Arial" w:hAnsi="Arial" w:cs="Arial"/>
          <w:sz w:val="22"/>
          <w:szCs w:val="22"/>
        </w:rPr>
        <w:t xml:space="preserve">Program </w:t>
      </w:r>
      <w:r>
        <w:rPr>
          <w:rFonts w:ascii="Arial" w:hAnsi="Arial"/>
          <w:sz w:val="22"/>
        </w:rPr>
        <w:t>is to assu</w:t>
      </w:r>
      <w:r w:rsidR="006C2060">
        <w:rPr>
          <w:rFonts w:ascii="Arial" w:hAnsi="Arial"/>
          <w:sz w:val="22"/>
        </w:rPr>
        <w:t xml:space="preserve">re that a sufficient number of HTC </w:t>
      </w:r>
      <w:r>
        <w:rPr>
          <w:rFonts w:ascii="Arial" w:hAnsi="Arial"/>
          <w:sz w:val="22"/>
        </w:rPr>
        <w:t xml:space="preserve">units are available on an affordable basis to low income persons.  Applicants should be cautioned that this set aside represents the minimum number of units that must meet both </w:t>
      </w:r>
      <w:r w:rsidR="001E12F9">
        <w:rPr>
          <w:rFonts w:ascii="Arial" w:hAnsi="Arial"/>
          <w:sz w:val="22"/>
        </w:rPr>
        <w:t xml:space="preserve">the </w:t>
      </w:r>
      <w:r>
        <w:rPr>
          <w:rFonts w:ascii="Arial" w:hAnsi="Arial"/>
          <w:sz w:val="22"/>
        </w:rPr>
        <w:t xml:space="preserve">rent and income restrictions to qualify for </w:t>
      </w:r>
      <w:r w:rsidR="00600022">
        <w:rPr>
          <w:rFonts w:ascii="Arial" w:hAnsi="Arial" w:cs="Arial"/>
          <w:sz w:val="22"/>
          <w:szCs w:val="22"/>
        </w:rPr>
        <w:t>HTC</w:t>
      </w:r>
      <w:r w:rsidR="00C02B7F">
        <w:rPr>
          <w:rFonts w:ascii="Arial" w:hAnsi="Arial" w:cs="Arial"/>
          <w:sz w:val="22"/>
          <w:szCs w:val="22"/>
        </w:rPr>
        <w:t xml:space="preserve"> </w:t>
      </w:r>
      <w:r>
        <w:rPr>
          <w:rFonts w:ascii="Arial" w:hAnsi="Arial"/>
          <w:sz w:val="22"/>
        </w:rPr>
        <w:t xml:space="preserve">for each year of the </w:t>
      </w:r>
      <w:r w:rsidR="00CE7085">
        <w:rPr>
          <w:rFonts w:ascii="Arial" w:hAnsi="Arial"/>
          <w:sz w:val="22"/>
        </w:rPr>
        <w:t>15-year compliance period</w:t>
      </w:r>
      <w:r w:rsidR="00C02B7F">
        <w:rPr>
          <w:rFonts w:ascii="Arial" w:hAnsi="Arial"/>
          <w:sz w:val="22"/>
        </w:rPr>
        <w:t>.  The owner must elect one of the following</w:t>
      </w:r>
      <w:r>
        <w:rPr>
          <w:rFonts w:ascii="Arial" w:hAnsi="Arial"/>
          <w:sz w:val="22"/>
        </w:rPr>
        <w:t>:</w:t>
      </w:r>
    </w:p>
    <w:p w:rsidR="005F6082" w:rsidRDefault="00C0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r>
    </w:p>
    <w:p w:rsidR="00C02B7F" w:rsidRDefault="00C02B7F" w:rsidP="0087431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874310">
        <w:rPr>
          <w:rFonts w:ascii="Arial" w:hAnsi="Arial"/>
          <w:sz w:val="22"/>
        </w:rPr>
        <w:t>1</w:t>
      </w:r>
      <w:r>
        <w:rPr>
          <w:rFonts w:ascii="Arial" w:hAnsi="Arial"/>
          <w:sz w:val="22"/>
        </w:rPr>
        <w:t>)</w:t>
      </w:r>
      <w:r w:rsidR="006C2060">
        <w:rPr>
          <w:rFonts w:ascii="Arial" w:hAnsi="Arial"/>
          <w:sz w:val="22"/>
        </w:rPr>
        <w:tab/>
      </w:r>
      <w:r w:rsidRPr="00C02B7F">
        <w:rPr>
          <w:rFonts w:ascii="Arial" w:hAnsi="Arial"/>
          <w:sz w:val="22"/>
        </w:rPr>
        <w:t>20% of the residential units must be rented to individuals whose income is 50% or</w:t>
      </w:r>
      <w:r w:rsidR="006C2060">
        <w:rPr>
          <w:rFonts w:ascii="Arial" w:hAnsi="Arial"/>
          <w:sz w:val="22"/>
        </w:rPr>
        <w:t xml:space="preserve"> </w:t>
      </w:r>
      <w:r w:rsidRPr="00C02B7F">
        <w:rPr>
          <w:rFonts w:ascii="Arial" w:hAnsi="Arial"/>
          <w:sz w:val="22"/>
        </w:rPr>
        <w:t>less of the area median gross income (“AMGI”); or</w:t>
      </w:r>
    </w:p>
    <w:p w:rsidR="00C02B7F" w:rsidRPr="00C02B7F" w:rsidRDefault="00C02B7F" w:rsidP="00874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jc w:val="both"/>
        <w:rPr>
          <w:rFonts w:ascii="Arial" w:hAnsi="Arial"/>
          <w:sz w:val="22"/>
        </w:rPr>
      </w:pPr>
    </w:p>
    <w:p w:rsidR="00C02B7F" w:rsidRDefault="00C02B7F" w:rsidP="008743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874310">
        <w:rPr>
          <w:rFonts w:ascii="Arial" w:hAnsi="Arial"/>
          <w:sz w:val="22"/>
        </w:rPr>
        <w:t>2</w:t>
      </w:r>
      <w:r>
        <w:rPr>
          <w:rFonts w:ascii="Arial" w:hAnsi="Arial"/>
          <w:sz w:val="22"/>
        </w:rPr>
        <w:t>)</w:t>
      </w:r>
      <w:r w:rsidR="006C2060">
        <w:rPr>
          <w:rFonts w:ascii="Arial" w:hAnsi="Arial"/>
          <w:sz w:val="22"/>
        </w:rPr>
        <w:tab/>
      </w:r>
      <w:r w:rsidRPr="00C02B7F">
        <w:rPr>
          <w:rFonts w:ascii="Arial" w:hAnsi="Arial"/>
          <w:sz w:val="22"/>
        </w:rPr>
        <w:t>40% of the residential units must be rented to individuals whose income is 60% or</w:t>
      </w:r>
      <w:r w:rsidR="006C2060">
        <w:rPr>
          <w:rFonts w:ascii="Arial" w:hAnsi="Arial"/>
          <w:sz w:val="22"/>
        </w:rPr>
        <w:t xml:space="preserve"> </w:t>
      </w:r>
      <w:r w:rsidRPr="00C02B7F">
        <w:rPr>
          <w:rFonts w:ascii="Arial" w:hAnsi="Arial"/>
          <w:sz w:val="22"/>
        </w:rPr>
        <w:t>less of the AMGI.</w:t>
      </w:r>
    </w:p>
    <w:p w:rsidR="00C02B7F" w:rsidRPr="00C02B7F" w:rsidRDefault="00C02B7F" w:rsidP="00C0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02B7F" w:rsidRDefault="00C02B7F" w:rsidP="00C0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b/>
      </w:r>
      <w:r>
        <w:rPr>
          <w:rFonts w:ascii="Arial" w:hAnsi="Arial"/>
          <w:sz w:val="22"/>
        </w:rPr>
        <w:tab/>
      </w:r>
      <w:r w:rsidRPr="00C02B7F">
        <w:rPr>
          <w:rFonts w:ascii="Arial" w:hAnsi="Arial"/>
          <w:sz w:val="22"/>
        </w:rPr>
        <w:t>Other aspects of the Minimum Set-Aside:</w:t>
      </w:r>
    </w:p>
    <w:p w:rsidR="00C02B7F" w:rsidRPr="00C02B7F" w:rsidRDefault="00C02B7F" w:rsidP="00C0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02B7F" w:rsidRPr="00C02B7F" w:rsidRDefault="00C02B7F"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sz w:val="22"/>
        </w:rPr>
      </w:pPr>
      <w:r>
        <w:rPr>
          <w:rFonts w:ascii="Arial" w:hAnsi="Arial"/>
          <w:sz w:val="22"/>
        </w:rPr>
        <w:tab/>
      </w:r>
      <w:r>
        <w:rPr>
          <w:rFonts w:ascii="Arial" w:hAnsi="Arial"/>
          <w:sz w:val="22"/>
        </w:rPr>
        <w:tab/>
      </w:r>
      <w:r w:rsidR="009E129E">
        <w:rPr>
          <w:rFonts w:ascii="Arial" w:hAnsi="Arial"/>
          <w:sz w:val="22"/>
        </w:rPr>
        <w:tab/>
      </w:r>
      <w:r w:rsidR="00874310">
        <w:rPr>
          <w:rFonts w:ascii="Arial" w:hAnsi="Arial"/>
          <w:sz w:val="22"/>
        </w:rPr>
        <w:t>(</w:t>
      </w:r>
      <w:r w:rsidR="006C2060">
        <w:rPr>
          <w:rFonts w:ascii="Arial" w:hAnsi="Arial"/>
          <w:sz w:val="22"/>
        </w:rPr>
        <w:t>a</w:t>
      </w:r>
      <w:r w:rsidR="00874310">
        <w:rPr>
          <w:rFonts w:ascii="Arial" w:hAnsi="Arial"/>
          <w:sz w:val="22"/>
        </w:rPr>
        <w:t>)</w:t>
      </w:r>
      <w:r w:rsidR="006C2060">
        <w:rPr>
          <w:rFonts w:ascii="Arial" w:hAnsi="Arial"/>
          <w:sz w:val="22"/>
        </w:rPr>
        <w:tab/>
      </w:r>
      <w:r w:rsidRPr="00C02B7F">
        <w:rPr>
          <w:rFonts w:ascii="Arial" w:hAnsi="Arial"/>
          <w:sz w:val="22"/>
        </w:rPr>
        <w:t>A minimum set-aside election, once made by the owner, is irrevocable.</w:t>
      </w:r>
    </w:p>
    <w:p w:rsidR="00C02B7F" w:rsidRPr="00C02B7F" w:rsidRDefault="00874310"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sidR="006C2060">
        <w:rPr>
          <w:rFonts w:ascii="Arial" w:hAnsi="Arial"/>
          <w:sz w:val="22"/>
        </w:rPr>
        <w:tab/>
      </w:r>
      <w:r w:rsidR="00C02B7F" w:rsidRPr="00C02B7F">
        <w:rPr>
          <w:rFonts w:ascii="Arial" w:hAnsi="Arial"/>
          <w:sz w:val="22"/>
        </w:rPr>
        <w:t xml:space="preserve">The minimum set-aside must be met on a </w:t>
      </w:r>
      <w:r w:rsidR="00C02B7F">
        <w:rPr>
          <w:rFonts w:ascii="Arial" w:hAnsi="Arial"/>
          <w:sz w:val="22"/>
        </w:rPr>
        <w:t>project</w:t>
      </w:r>
      <w:r w:rsidR="00C02B7F" w:rsidRPr="00C02B7F">
        <w:rPr>
          <w:rFonts w:ascii="Arial" w:hAnsi="Arial"/>
          <w:sz w:val="22"/>
        </w:rPr>
        <w:t>-wide basis. (See Form 8609,</w:t>
      </w:r>
      <w:r w:rsidR="009E129E">
        <w:rPr>
          <w:rFonts w:ascii="Arial" w:hAnsi="Arial"/>
          <w:sz w:val="22"/>
        </w:rPr>
        <w:t xml:space="preserve"> </w:t>
      </w:r>
      <w:r w:rsidR="00C02B7F" w:rsidRPr="00C02B7F">
        <w:rPr>
          <w:rFonts w:ascii="Arial" w:hAnsi="Arial"/>
          <w:sz w:val="22"/>
        </w:rPr>
        <w:t>Line 8b, regarding the building-by-building exception.)</w:t>
      </w:r>
    </w:p>
    <w:p w:rsidR="00C02B7F" w:rsidRPr="00C02B7F" w:rsidRDefault="00C02B7F"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sz w:val="22"/>
        </w:rPr>
      </w:pPr>
      <w:r>
        <w:rPr>
          <w:rFonts w:ascii="Arial" w:hAnsi="Arial"/>
          <w:sz w:val="22"/>
        </w:rPr>
        <w:tab/>
      </w:r>
      <w:r>
        <w:rPr>
          <w:rFonts w:ascii="Arial" w:hAnsi="Arial"/>
          <w:sz w:val="22"/>
        </w:rPr>
        <w:tab/>
      </w:r>
      <w:r w:rsidR="009E129E">
        <w:rPr>
          <w:rFonts w:ascii="Arial" w:hAnsi="Arial"/>
          <w:sz w:val="22"/>
        </w:rPr>
        <w:tab/>
      </w:r>
      <w:r w:rsidR="00874310">
        <w:rPr>
          <w:rFonts w:ascii="Arial" w:hAnsi="Arial"/>
          <w:sz w:val="22"/>
        </w:rPr>
        <w:t>(c)</w:t>
      </w:r>
      <w:r w:rsidR="006C2060">
        <w:rPr>
          <w:rFonts w:ascii="Arial" w:hAnsi="Arial"/>
          <w:sz w:val="22"/>
        </w:rPr>
        <w:tab/>
      </w:r>
      <w:r w:rsidRPr="00C02B7F">
        <w:rPr>
          <w:rFonts w:ascii="Arial" w:hAnsi="Arial"/>
          <w:sz w:val="22"/>
        </w:rPr>
        <w:t>HTCs cannot be claimed until the minimum set-aside has been met.</w:t>
      </w:r>
    </w:p>
    <w:p w:rsidR="009E129E" w:rsidRDefault="00874310"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(d)</w:t>
      </w:r>
      <w:r w:rsidR="006C2060">
        <w:rPr>
          <w:rFonts w:ascii="Arial" w:hAnsi="Arial"/>
          <w:sz w:val="22"/>
        </w:rPr>
        <w:tab/>
      </w:r>
      <w:r w:rsidR="00C02B7F" w:rsidRPr="00C02B7F">
        <w:rPr>
          <w:rFonts w:ascii="Arial" w:hAnsi="Arial"/>
          <w:sz w:val="22"/>
        </w:rPr>
        <w:t xml:space="preserve">If the </w:t>
      </w:r>
      <w:r w:rsidR="0018286A">
        <w:rPr>
          <w:rFonts w:ascii="Arial" w:hAnsi="Arial"/>
          <w:sz w:val="22"/>
        </w:rPr>
        <w:t xml:space="preserve">project </w:t>
      </w:r>
      <w:r w:rsidR="00C02B7F" w:rsidRPr="00C02B7F">
        <w:rPr>
          <w:rFonts w:ascii="Arial" w:hAnsi="Arial"/>
          <w:sz w:val="22"/>
        </w:rPr>
        <w:t>fails to meet the minimum set-aside by the end of the first year of</w:t>
      </w:r>
      <w:r w:rsidR="009E129E">
        <w:rPr>
          <w:rFonts w:ascii="Arial" w:hAnsi="Arial"/>
          <w:sz w:val="22"/>
        </w:rPr>
        <w:t xml:space="preserve"> t</w:t>
      </w:r>
      <w:r w:rsidR="00C02B7F" w:rsidRPr="00C02B7F">
        <w:rPr>
          <w:rFonts w:ascii="Arial" w:hAnsi="Arial"/>
          <w:sz w:val="22"/>
        </w:rPr>
        <w:t xml:space="preserve">he </w:t>
      </w:r>
      <w:r w:rsidR="0018286A">
        <w:rPr>
          <w:rFonts w:ascii="Arial" w:hAnsi="Arial"/>
          <w:sz w:val="22"/>
        </w:rPr>
        <w:t xml:space="preserve">10-year </w:t>
      </w:r>
      <w:r w:rsidR="00C02B7F" w:rsidRPr="00C02B7F">
        <w:rPr>
          <w:rFonts w:ascii="Arial" w:hAnsi="Arial"/>
          <w:sz w:val="22"/>
        </w:rPr>
        <w:t xml:space="preserve">credit period, the </w:t>
      </w:r>
      <w:r w:rsidR="0018286A">
        <w:rPr>
          <w:rFonts w:ascii="Arial" w:hAnsi="Arial"/>
          <w:sz w:val="22"/>
        </w:rPr>
        <w:t xml:space="preserve">project </w:t>
      </w:r>
      <w:r w:rsidR="00CB144A">
        <w:rPr>
          <w:rFonts w:ascii="Arial" w:hAnsi="Arial"/>
          <w:sz w:val="22"/>
        </w:rPr>
        <w:t xml:space="preserve">will not qualify as a </w:t>
      </w:r>
      <w:r w:rsidR="00C02B7F" w:rsidRPr="00C02B7F">
        <w:rPr>
          <w:rFonts w:ascii="Arial" w:hAnsi="Arial"/>
          <w:sz w:val="22"/>
        </w:rPr>
        <w:t xml:space="preserve">HTC </w:t>
      </w:r>
      <w:r w:rsidR="002D6668">
        <w:rPr>
          <w:rFonts w:ascii="Arial" w:hAnsi="Arial"/>
          <w:sz w:val="22"/>
        </w:rPr>
        <w:t>project</w:t>
      </w:r>
      <w:r w:rsidR="00C02B7F" w:rsidRPr="00C02B7F">
        <w:rPr>
          <w:rFonts w:ascii="Arial" w:hAnsi="Arial"/>
          <w:sz w:val="22"/>
        </w:rPr>
        <w:t xml:space="preserve"> and</w:t>
      </w:r>
      <w:r w:rsidR="009E129E">
        <w:rPr>
          <w:rFonts w:ascii="Arial" w:hAnsi="Arial"/>
          <w:sz w:val="22"/>
        </w:rPr>
        <w:t xml:space="preserve"> </w:t>
      </w:r>
      <w:r w:rsidR="00C02B7F" w:rsidRPr="00C02B7F">
        <w:rPr>
          <w:rFonts w:ascii="Arial" w:hAnsi="Arial"/>
          <w:sz w:val="22"/>
        </w:rPr>
        <w:t>HTCs cannot be claimed.</w:t>
      </w:r>
    </w:p>
    <w:p w:rsidR="00C02B7F" w:rsidRPr="00C02B7F" w:rsidRDefault="00874310"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(e)</w:t>
      </w:r>
      <w:r w:rsidR="006C2060">
        <w:rPr>
          <w:rFonts w:ascii="Arial" w:hAnsi="Arial"/>
          <w:sz w:val="22"/>
        </w:rPr>
        <w:tab/>
      </w:r>
      <w:r w:rsidR="00C02B7F" w:rsidRPr="00C02B7F">
        <w:rPr>
          <w:rFonts w:ascii="Arial" w:hAnsi="Arial"/>
          <w:sz w:val="22"/>
        </w:rPr>
        <w:t xml:space="preserve">If the </w:t>
      </w:r>
      <w:r w:rsidR="002D6668">
        <w:rPr>
          <w:rFonts w:ascii="Arial" w:hAnsi="Arial"/>
          <w:sz w:val="22"/>
        </w:rPr>
        <w:t>project</w:t>
      </w:r>
      <w:r w:rsidR="00C02B7F" w:rsidRPr="00C02B7F">
        <w:rPr>
          <w:rFonts w:ascii="Arial" w:hAnsi="Arial"/>
          <w:sz w:val="22"/>
        </w:rPr>
        <w:t xml:space="preserve"> falls below the minimum set-aside</w:t>
      </w:r>
      <w:r w:rsidR="009E129E">
        <w:rPr>
          <w:rFonts w:ascii="Arial" w:hAnsi="Arial"/>
          <w:sz w:val="22"/>
        </w:rPr>
        <w:t xml:space="preserve"> </w:t>
      </w:r>
      <w:r w:rsidR="00C02B7F" w:rsidRPr="00C02B7F">
        <w:rPr>
          <w:rFonts w:ascii="Arial" w:hAnsi="Arial"/>
          <w:sz w:val="22"/>
        </w:rPr>
        <w:t xml:space="preserve">during the </w:t>
      </w:r>
      <w:r w:rsidR="002D6668">
        <w:rPr>
          <w:rFonts w:ascii="Arial" w:hAnsi="Arial"/>
          <w:sz w:val="22"/>
        </w:rPr>
        <w:t xml:space="preserve">10-year </w:t>
      </w:r>
      <w:r w:rsidR="00CB144A">
        <w:rPr>
          <w:rFonts w:ascii="Arial" w:hAnsi="Arial"/>
          <w:sz w:val="22"/>
        </w:rPr>
        <w:t xml:space="preserve">credit period, </w:t>
      </w:r>
      <w:r w:rsidR="00C02B7F" w:rsidRPr="00C02B7F">
        <w:rPr>
          <w:rFonts w:ascii="Arial" w:hAnsi="Arial"/>
          <w:sz w:val="22"/>
        </w:rPr>
        <w:t>HTC’s cannot be claimed for that year.</w:t>
      </w:r>
    </w:p>
    <w:p w:rsidR="00C02B7F" w:rsidRDefault="00C02B7F" w:rsidP="006C2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rent restrictions for the </w:t>
      </w:r>
      <w:r w:rsidR="006C2060">
        <w:rPr>
          <w:rFonts w:ascii="Arial" w:hAnsi="Arial"/>
          <w:sz w:val="22"/>
        </w:rPr>
        <w:t xml:space="preserve">HTC </w:t>
      </w:r>
      <w:r>
        <w:rPr>
          <w:rFonts w:ascii="Arial" w:hAnsi="Arial"/>
          <w:sz w:val="22"/>
        </w:rPr>
        <w:t xml:space="preserve">units are governed by Section 42 </w:t>
      </w:r>
      <w:r w:rsidR="009E129E">
        <w:rPr>
          <w:rFonts w:ascii="Arial" w:hAnsi="Arial"/>
          <w:sz w:val="22"/>
        </w:rPr>
        <w:t xml:space="preserve">of the Code </w:t>
      </w:r>
      <w:r>
        <w:rPr>
          <w:rFonts w:ascii="Arial" w:hAnsi="Arial"/>
          <w:sz w:val="22"/>
        </w:rPr>
        <w:t xml:space="preserve">and </w:t>
      </w:r>
      <w:r w:rsidR="002D6668">
        <w:rPr>
          <w:rFonts w:ascii="Arial" w:hAnsi="Arial"/>
          <w:sz w:val="22"/>
        </w:rPr>
        <w:t>Treasure R</w:t>
      </w:r>
      <w:r>
        <w:rPr>
          <w:rFonts w:ascii="Arial" w:hAnsi="Arial"/>
          <w:sz w:val="22"/>
        </w:rPr>
        <w:t>egulations, rulings and other announcements by the IRS.  The following summary is not intended to be comprehensive.  A violation of the tenant i</w:t>
      </w:r>
      <w:r w:rsidR="0018286A">
        <w:rPr>
          <w:rFonts w:ascii="Arial" w:hAnsi="Arial"/>
          <w:sz w:val="22"/>
        </w:rPr>
        <w:t xml:space="preserve">ncome or rental restrictions under </w:t>
      </w:r>
      <w:r>
        <w:rPr>
          <w:rFonts w:ascii="Arial" w:hAnsi="Arial"/>
          <w:sz w:val="22"/>
        </w:rPr>
        <w:t xml:space="preserve">Section 42 </w:t>
      </w:r>
      <w:r w:rsidR="001D7E91">
        <w:rPr>
          <w:rFonts w:ascii="Arial" w:hAnsi="Arial"/>
          <w:sz w:val="22"/>
        </w:rPr>
        <w:t xml:space="preserve">of the Code </w:t>
      </w:r>
      <w:r>
        <w:rPr>
          <w:rFonts w:ascii="Arial" w:hAnsi="Arial"/>
          <w:sz w:val="22"/>
        </w:rPr>
        <w:t xml:space="preserve">may result in project </w:t>
      </w:r>
      <w:r>
        <w:rPr>
          <w:rFonts w:ascii="Arial" w:hAnsi="Arial"/>
          <w:sz w:val="22"/>
        </w:rPr>
        <w:lastRenderedPageBreak/>
        <w:t xml:space="preserve">ineligibility, a reduction in </w:t>
      </w:r>
      <w:r w:rsidR="002D6668">
        <w:rPr>
          <w:rFonts w:ascii="Arial" w:hAnsi="Arial"/>
          <w:sz w:val="22"/>
        </w:rPr>
        <w:t xml:space="preserve">eligible </w:t>
      </w:r>
      <w:r>
        <w:rPr>
          <w:rFonts w:ascii="Arial" w:hAnsi="Arial"/>
          <w:sz w:val="22"/>
        </w:rPr>
        <w:t xml:space="preserve">basis, or recapture of </w:t>
      </w:r>
      <w:r w:rsidR="00600022">
        <w:rPr>
          <w:rFonts w:ascii="Arial" w:hAnsi="Arial" w:cs="Arial"/>
          <w:sz w:val="22"/>
          <w:szCs w:val="22"/>
        </w:rPr>
        <w:t>HTC</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Rent Re</w:t>
      </w:r>
      <w:r w:rsidR="0018286A">
        <w:rPr>
          <w:rFonts w:ascii="Arial" w:hAnsi="Arial"/>
          <w:sz w:val="22"/>
        </w:rPr>
        <w:t xml:space="preserve">striction:  For a unit to qualify </w:t>
      </w:r>
      <w:r>
        <w:rPr>
          <w:rFonts w:ascii="Arial" w:hAnsi="Arial"/>
          <w:sz w:val="22"/>
        </w:rPr>
        <w:t xml:space="preserve">as a </w:t>
      </w:r>
      <w:r w:rsidR="006C2060">
        <w:rPr>
          <w:rFonts w:ascii="Arial" w:hAnsi="Arial"/>
          <w:sz w:val="22"/>
        </w:rPr>
        <w:t xml:space="preserve">HTC </w:t>
      </w:r>
      <w:r>
        <w:rPr>
          <w:rFonts w:ascii="Arial" w:hAnsi="Arial"/>
          <w:sz w:val="22"/>
        </w:rPr>
        <w:t>unit, the gross rent may not exceed 30 percent of the imputed tenant income limitation.  The imputed income limitation applicable to a unit equals the permissible income limitation that would apply if the number of individuals occupying the unit were: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874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Pr>
          <w:rFonts w:ascii="Arial" w:hAnsi="Arial"/>
          <w:sz w:val="22"/>
        </w:rPr>
        <w:tab/>
      </w:r>
      <w:r w:rsidR="005F6082">
        <w:rPr>
          <w:rFonts w:ascii="Arial" w:hAnsi="Arial"/>
          <w:sz w:val="22"/>
        </w:rPr>
        <w:t>One individual in the case of a studio apartment; and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874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t>1.5 individuals per bedroom in the case of a unit with one or more separate bedrooms.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pStyle w:val="BodyTextIndent3"/>
      </w:pPr>
      <w:r>
        <w:t>Therefore, the rent restriction applicable to a</w:t>
      </w:r>
      <w:r w:rsidR="006C2060">
        <w:t xml:space="preserve"> HTC</w:t>
      </w:r>
      <w:r>
        <w:t xml:space="preserve"> unit is determined by which test is elected and how many bedrooms are contained in the unit. Current income limits, as published by HUD, are attached as Exhibit O.</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"Gross rent" means all payments by the tenant, including payments to the owner for utilities other than telephone.  If the tenant pays utilities directly, the maximum rent that can be paid to the landlord is reduced by a utility allowance determined in accordance with rules under Section 8 of the U.S. Housing Act of 1937 ("Section 8"). For a building that is not assisted by HUD the building owner may use either the applicable Public Housing Authority (</w:t>
      </w:r>
      <w:r w:rsidR="007644EE">
        <w:rPr>
          <w:rFonts w:ascii="Arial" w:hAnsi="Arial"/>
          <w:sz w:val="22"/>
        </w:rPr>
        <w:t>“</w:t>
      </w:r>
      <w:r>
        <w:rPr>
          <w:rFonts w:ascii="Arial" w:hAnsi="Arial"/>
          <w:sz w:val="22"/>
        </w:rPr>
        <w:t>PHA</w:t>
      </w:r>
      <w:r w:rsidR="007644EE">
        <w:rPr>
          <w:rFonts w:ascii="Arial" w:hAnsi="Arial"/>
          <w:sz w:val="22"/>
        </w:rPr>
        <w:t>”</w:t>
      </w:r>
      <w:r>
        <w:rPr>
          <w:rFonts w:ascii="Arial" w:hAnsi="Arial"/>
          <w:sz w:val="22"/>
        </w:rPr>
        <w:t xml:space="preserve">) utility allowance or the owner may obtain a letter from the local utility company providing the estimated cost of that utility for each unit of similar size, construction, and geographic area.  See </w:t>
      </w:r>
      <w:r w:rsidR="002D6668">
        <w:rPr>
          <w:rFonts w:ascii="Arial" w:hAnsi="Arial"/>
          <w:sz w:val="22"/>
        </w:rPr>
        <w:t xml:space="preserve">IRS </w:t>
      </w:r>
      <w:r>
        <w:rPr>
          <w:rFonts w:ascii="Arial" w:hAnsi="Arial"/>
          <w:sz w:val="22"/>
        </w:rPr>
        <w:t xml:space="preserve">Notice 94-60 </w:t>
      </w:r>
      <w:r w:rsidR="004A2DEB">
        <w:rPr>
          <w:rFonts w:ascii="Arial" w:hAnsi="Arial"/>
          <w:sz w:val="22"/>
        </w:rPr>
        <w:t>and Section</w:t>
      </w:r>
      <w:r w:rsidR="002D6668">
        <w:rPr>
          <w:rFonts w:ascii="Arial" w:hAnsi="Arial"/>
          <w:sz w:val="22"/>
        </w:rPr>
        <w:t xml:space="preserve"> </w:t>
      </w:r>
      <w:r w:rsidR="007644EE">
        <w:rPr>
          <w:rFonts w:ascii="Arial" w:hAnsi="Arial"/>
          <w:sz w:val="22"/>
        </w:rPr>
        <w:t>1.</w:t>
      </w:r>
      <w:r>
        <w:rPr>
          <w:rFonts w:ascii="Arial" w:hAnsi="Arial"/>
          <w:sz w:val="22"/>
        </w:rPr>
        <w:t>42-10 of the Treasury Regulations attached as Exhibit G for more detailed information.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Federal, state and local rental assistance payments (such as Section 8 payments) made on behalf of the tenant are not included in gross rent.</w:t>
      </w:r>
    </w:p>
    <w:p w:rsidR="000751CC" w:rsidRDefault="00075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0751CC" w:rsidRDefault="00075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During the term of </w:t>
      </w:r>
      <w:r w:rsidR="0018286A">
        <w:rPr>
          <w:rFonts w:ascii="Arial" w:hAnsi="Arial"/>
          <w:sz w:val="22"/>
        </w:rPr>
        <w:t xml:space="preserve">a tenant </w:t>
      </w:r>
      <w:r>
        <w:rPr>
          <w:rFonts w:ascii="Arial" w:hAnsi="Arial"/>
          <w:sz w:val="22"/>
        </w:rPr>
        <w:t xml:space="preserve">lease, the rental rate may be altered downward, but not upward, due to annual changes in the maximum income and rent limits set for </w:t>
      </w:r>
      <w:r w:rsidR="0018286A">
        <w:rPr>
          <w:rFonts w:ascii="Arial" w:hAnsi="Arial"/>
          <w:sz w:val="22"/>
        </w:rPr>
        <w:t>HTC</w:t>
      </w:r>
      <w:r>
        <w:rPr>
          <w:rFonts w:ascii="Arial" w:hAnsi="Arial"/>
          <w:sz w:val="22"/>
        </w:rPr>
        <w:t xml:space="preserve"> projects by the </w:t>
      </w:r>
      <w:r w:rsidR="002D6668">
        <w:rPr>
          <w:rFonts w:ascii="Arial" w:hAnsi="Arial"/>
          <w:sz w:val="22"/>
        </w:rPr>
        <w:t xml:space="preserve">Board on behalf of </w:t>
      </w:r>
      <w:r>
        <w:rPr>
          <w:rFonts w:ascii="Arial" w:hAnsi="Arial"/>
          <w:sz w:val="22"/>
        </w:rPr>
        <w:t>HRA or due to changes in the Utility Allow</w:t>
      </w:r>
      <w:r w:rsidR="002D6668">
        <w:rPr>
          <w:rFonts w:ascii="Arial" w:hAnsi="Arial"/>
          <w:sz w:val="22"/>
        </w:rPr>
        <w:t>ances which are governed by HUD</w:t>
      </w:r>
      <w:r>
        <w:rPr>
          <w:rFonts w:ascii="Arial" w:hAnsi="Arial"/>
          <w:sz w:val="22"/>
        </w:rPr>
        <w:t>.</w:t>
      </w:r>
    </w:p>
    <w:p w:rsidR="005F6082" w:rsidRPr="00E03091" w:rsidRDefault="008A09E7" w:rsidP="003A14BA">
      <w:pPr>
        <w:pStyle w:val="Heading2"/>
        <w:ind w:left="720"/>
        <w:rPr>
          <w:rFonts w:ascii="Arial" w:hAnsi="Arial"/>
          <w:i w:val="0"/>
          <w:sz w:val="22"/>
        </w:rPr>
      </w:pPr>
      <w:bookmarkStart w:id="30" w:name="_Toc511903009"/>
      <w:r>
        <w:rPr>
          <w:rFonts w:ascii="Arial" w:hAnsi="Arial"/>
          <w:i w:val="0"/>
          <w:sz w:val="22"/>
        </w:rPr>
        <w:t>F</w:t>
      </w:r>
      <w:r w:rsidR="005F6082" w:rsidRPr="00E03091">
        <w:rPr>
          <w:rFonts w:ascii="Arial" w:hAnsi="Arial"/>
          <w:i w:val="0"/>
          <w:sz w:val="22"/>
        </w:rPr>
        <w:t>.</w:t>
      </w:r>
      <w:r w:rsidR="005F6082" w:rsidRPr="00E03091">
        <w:rPr>
          <w:rFonts w:ascii="Arial" w:hAnsi="Arial"/>
          <w:i w:val="0"/>
          <w:sz w:val="22"/>
        </w:rPr>
        <w:tab/>
        <w:t>Tenant Eligibility</w:t>
      </w:r>
      <w:r w:rsidR="005F6082" w:rsidRPr="00E03091">
        <w:rPr>
          <w:rFonts w:ascii="Arial" w:hAnsi="Arial"/>
          <w:i w:val="0"/>
          <w:sz w:val="22"/>
        </w:rPr>
        <w:fldChar w:fldCharType="begin"/>
      </w:r>
      <w:r w:rsidR="005F6082" w:rsidRPr="00E03091">
        <w:rPr>
          <w:rFonts w:ascii="Arial" w:hAnsi="Arial"/>
          <w:i w:val="0"/>
          <w:sz w:val="22"/>
        </w:rPr>
        <w:instrText>tc \l2 "G.</w:instrText>
      </w:r>
      <w:r w:rsidR="005F6082" w:rsidRPr="00E03091">
        <w:rPr>
          <w:rFonts w:ascii="Arial" w:hAnsi="Arial"/>
          <w:i w:val="0"/>
          <w:sz w:val="22"/>
        </w:rPr>
        <w:tab/>
        <w:instrText>Tenant Eligibility</w:instrText>
      </w:r>
      <w:r w:rsidR="005F6082" w:rsidRPr="00E03091">
        <w:rPr>
          <w:rFonts w:ascii="Arial" w:hAnsi="Arial"/>
          <w:i w:val="0"/>
          <w:sz w:val="22"/>
        </w:rPr>
        <w:fldChar w:fldCharType="end"/>
      </w:r>
      <w:bookmarkEnd w:id="30"/>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B1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To be a HTC</w:t>
      </w:r>
      <w:r w:rsidR="005F6082">
        <w:rPr>
          <w:rFonts w:ascii="Arial" w:hAnsi="Arial"/>
          <w:sz w:val="22"/>
        </w:rPr>
        <w:t xml:space="preserve"> unit for purposes of determining the qualified basis, the tenant must have income at or below 50 percent of AMGI if the 20/50 Test is elected, or 60 percent of AMGI if the 40/60 Test is elected.  The unit must be rent restricted as set forth above, and the unit must be suitable for occupancy.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combined household income of all tenants occupying a </w:t>
      </w:r>
      <w:r w:rsidR="0018286A">
        <w:rPr>
          <w:rFonts w:ascii="Arial" w:hAnsi="Arial"/>
          <w:sz w:val="22"/>
        </w:rPr>
        <w:t xml:space="preserve">HTC </w:t>
      </w:r>
      <w:r>
        <w:rPr>
          <w:rFonts w:ascii="Arial" w:hAnsi="Arial"/>
          <w:sz w:val="22"/>
        </w:rPr>
        <w:t>unit must be less than or equal to the elected income requirements as shown on Exhibit O.  Note that the percent</w:t>
      </w:r>
      <w:r w:rsidR="0018286A">
        <w:rPr>
          <w:rFonts w:ascii="Arial" w:hAnsi="Arial"/>
          <w:sz w:val="22"/>
        </w:rPr>
        <w:t>age</w:t>
      </w:r>
      <w:r>
        <w:rPr>
          <w:rFonts w:ascii="Arial" w:hAnsi="Arial"/>
          <w:sz w:val="22"/>
        </w:rPr>
        <w:t xml:space="preserve"> of eligible units must match the applicable fraction.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2D6668"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2D6668">
        <w:rPr>
          <w:rFonts w:ascii="Arial" w:hAnsi="Arial"/>
          <w:sz w:val="22"/>
        </w:rPr>
        <w:t xml:space="preserve">Units are not eligible for </w:t>
      </w:r>
      <w:r w:rsidR="0018286A" w:rsidRPr="002D6668">
        <w:rPr>
          <w:rFonts w:ascii="Arial" w:hAnsi="Arial"/>
          <w:sz w:val="22"/>
        </w:rPr>
        <w:t xml:space="preserve">HTC </w:t>
      </w:r>
      <w:r w:rsidRPr="002D6668">
        <w:rPr>
          <w:rFonts w:ascii="Arial" w:hAnsi="Arial"/>
          <w:sz w:val="22"/>
        </w:rPr>
        <w:t>if they are occupied entirely by students who do not file a joint income tax return.  Exceptions to this rule are: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5F6082">
        <w:rPr>
          <w:rFonts w:ascii="Arial" w:hAnsi="Arial"/>
          <w:sz w:val="22"/>
        </w:rPr>
        <w:tab/>
        <w:t>Unmarried students who are aid</w:t>
      </w:r>
      <w:r w:rsidR="005F6082">
        <w:rPr>
          <w:rFonts w:ascii="Arial" w:hAnsi="Arial"/>
          <w:sz w:val="22"/>
        </w:rPr>
        <w:noBreakHyphen/>
        <w:t>for</w:t>
      </w:r>
      <w:r w:rsidR="005F6082">
        <w:rPr>
          <w:rFonts w:ascii="Arial" w:hAnsi="Arial"/>
          <w:sz w:val="22"/>
        </w:rPr>
        <w:noBreakHyphen/>
        <w:t>dependent</w:t>
      </w:r>
      <w:r w:rsidR="005F6082">
        <w:rPr>
          <w:rFonts w:ascii="Arial" w:hAnsi="Arial"/>
          <w:sz w:val="22"/>
        </w:rPr>
        <w:noBreakHyphen/>
        <w:t xml:space="preserve">children (AFDC) recipients or single parents and their children, as long as neither parent </w:t>
      </w:r>
      <w:r w:rsidR="005F6082">
        <w:rPr>
          <w:rFonts w:ascii="Arial" w:hAnsi="Arial"/>
          <w:sz w:val="22"/>
        </w:rPr>
        <w:lastRenderedPageBreak/>
        <w:t>nor children are dependents of another individual.</w:t>
      </w:r>
      <w:r w:rsidR="00E15E7D">
        <w:rPr>
          <w:rFonts w:ascii="Arial" w:hAnsi="Arial"/>
          <w:sz w:val="22"/>
        </w:rPr>
        <w:t xml:space="preserve"> </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pStyle w:val="BodyTextIndent2"/>
      </w:pPr>
      <w:r>
        <w:t>(2)</w:t>
      </w:r>
      <w:r w:rsidR="005F6082">
        <w:tab/>
        <w:t xml:space="preserve">Units occupied by students enrolled in a job training program under the Job Training Partnership Act or a similar federal, state, or local program or receiving assistance under Title IV of the Social Security Act will not be disqualified from the </w:t>
      </w:r>
      <w:r w:rsidR="007644EE">
        <w:t>HTC P</w:t>
      </w:r>
      <w:r w:rsidR="005F6082">
        <w:t>rogram because of this enrollment.</w:t>
      </w:r>
    </w:p>
    <w:p w:rsidR="005F6082" w:rsidRPr="00E03091" w:rsidRDefault="004941BC" w:rsidP="00F7518F">
      <w:pPr>
        <w:pStyle w:val="Heading2"/>
        <w:spacing w:after="0"/>
        <w:ind w:left="720"/>
        <w:rPr>
          <w:rFonts w:ascii="Arial" w:hAnsi="Arial"/>
          <w:i w:val="0"/>
          <w:sz w:val="22"/>
        </w:rPr>
      </w:pPr>
      <w:bookmarkStart w:id="31" w:name="_Toc511903010"/>
      <w:r>
        <w:rPr>
          <w:rFonts w:ascii="Arial" w:hAnsi="Arial"/>
          <w:i w:val="0"/>
          <w:sz w:val="22"/>
        </w:rPr>
        <w:t>G</w:t>
      </w:r>
      <w:r w:rsidR="005F6082" w:rsidRPr="00E03091">
        <w:rPr>
          <w:rFonts w:ascii="Arial" w:hAnsi="Arial"/>
          <w:i w:val="0"/>
          <w:sz w:val="22"/>
        </w:rPr>
        <w:t>.</w:t>
      </w:r>
      <w:r w:rsidR="005F6082" w:rsidRPr="00E03091">
        <w:rPr>
          <w:rFonts w:ascii="Arial" w:hAnsi="Arial"/>
          <w:i w:val="0"/>
          <w:sz w:val="22"/>
        </w:rPr>
        <w:tab/>
        <w:t>Eligible Basis</w:t>
      </w:r>
      <w:r w:rsidR="005F6082" w:rsidRPr="00E03091">
        <w:rPr>
          <w:rFonts w:ascii="Arial" w:hAnsi="Arial"/>
          <w:i w:val="0"/>
          <w:sz w:val="22"/>
        </w:rPr>
        <w:fldChar w:fldCharType="begin"/>
      </w:r>
      <w:r w:rsidR="005F6082" w:rsidRPr="00E03091">
        <w:rPr>
          <w:rFonts w:ascii="Arial" w:hAnsi="Arial"/>
          <w:i w:val="0"/>
          <w:sz w:val="22"/>
        </w:rPr>
        <w:instrText>tc \l2 "H.</w:instrText>
      </w:r>
      <w:r w:rsidR="005F6082" w:rsidRPr="00E03091">
        <w:rPr>
          <w:rFonts w:ascii="Arial" w:hAnsi="Arial"/>
          <w:i w:val="0"/>
          <w:sz w:val="22"/>
        </w:rPr>
        <w:tab/>
        <w:instrText>Eligible Basis</w:instrText>
      </w:r>
      <w:r w:rsidR="005F6082" w:rsidRPr="00E03091">
        <w:rPr>
          <w:rFonts w:ascii="Arial" w:hAnsi="Arial"/>
          <w:i w:val="0"/>
          <w:sz w:val="22"/>
        </w:rPr>
        <w:fldChar w:fldCharType="end"/>
      </w:r>
      <w:bookmarkEnd w:id="31"/>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B20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In general, the eligible b</w:t>
      </w:r>
      <w:r w:rsidR="005F6082">
        <w:rPr>
          <w:rFonts w:ascii="Arial" w:hAnsi="Arial"/>
          <w:sz w:val="22"/>
        </w:rPr>
        <w:t>asis of a building is equal to the building's adjusted basis for acquisition, rehabilitation or construction costs for the entire building</w:t>
      </w:r>
      <w:r w:rsidR="00FD41A8">
        <w:rPr>
          <w:rFonts w:ascii="Arial" w:hAnsi="Arial"/>
          <w:sz w:val="22"/>
        </w:rPr>
        <w:t xml:space="preserve"> (“Eligible Basis”)</w:t>
      </w:r>
      <w:r w:rsidR="005F6082">
        <w:rPr>
          <w:rFonts w:ascii="Arial" w:hAnsi="Arial"/>
          <w:sz w:val="22"/>
        </w:rPr>
        <w:t>, subject to certain conditions and modifications set forth in Section 42(d)</w:t>
      </w:r>
      <w:r w:rsidR="00FD41A8">
        <w:rPr>
          <w:rFonts w:ascii="Arial" w:hAnsi="Arial"/>
          <w:sz w:val="22"/>
        </w:rPr>
        <w:t xml:space="preserve"> of the Code</w:t>
      </w:r>
      <w:r w:rsidR="005F6082">
        <w:rPr>
          <w:rFonts w:ascii="Arial" w:hAnsi="Arial"/>
          <w:sz w:val="22"/>
        </w:rPr>
        <w:t xml:space="preserve">.  As a general rule, the adjusted basis rules of </w:t>
      </w:r>
      <w:r w:rsidR="002D6668">
        <w:rPr>
          <w:rFonts w:ascii="Arial" w:hAnsi="Arial"/>
          <w:sz w:val="22"/>
        </w:rPr>
        <w:t xml:space="preserve">Section 1016 </w:t>
      </w:r>
      <w:r w:rsidR="001D7E91">
        <w:rPr>
          <w:rFonts w:ascii="Arial" w:hAnsi="Arial"/>
          <w:sz w:val="22"/>
        </w:rPr>
        <w:t>of the Code apply</w:t>
      </w:r>
      <w:r w:rsidR="005F6082">
        <w:rPr>
          <w:rFonts w:ascii="Arial" w:hAnsi="Arial"/>
          <w:sz w:val="22"/>
        </w:rPr>
        <w:t>, with the exception that no adjustments are made for depreciation.  Some of the spec</w:t>
      </w:r>
      <w:r w:rsidR="002D6668">
        <w:rPr>
          <w:rFonts w:ascii="Arial" w:hAnsi="Arial"/>
          <w:sz w:val="22"/>
        </w:rPr>
        <w:t>ial provisions for determining Eligible B</w:t>
      </w:r>
      <w:r w:rsidR="005F6082">
        <w:rPr>
          <w:rFonts w:ascii="Arial" w:hAnsi="Arial"/>
          <w:sz w:val="22"/>
        </w:rPr>
        <w:t xml:space="preserve">asis under Section 42(d) </w:t>
      </w:r>
      <w:r w:rsidR="00FD41A8">
        <w:rPr>
          <w:rFonts w:ascii="Arial" w:hAnsi="Arial"/>
          <w:sz w:val="22"/>
        </w:rPr>
        <w:t xml:space="preserve">of the Code </w:t>
      </w:r>
      <w:r w:rsidR="005F6082">
        <w:rPr>
          <w:rFonts w:ascii="Arial" w:hAnsi="Arial"/>
          <w:sz w:val="22"/>
        </w:rPr>
        <w:t>are: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rsidP="007644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FD41A8">
        <w:rPr>
          <w:rFonts w:ascii="Arial" w:hAnsi="Arial"/>
          <w:sz w:val="22"/>
        </w:rPr>
        <w:tab/>
        <w:t>Eligible B</w:t>
      </w:r>
      <w:r w:rsidR="005F6082">
        <w:rPr>
          <w:rFonts w:ascii="Arial" w:hAnsi="Arial"/>
          <w:sz w:val="22"/>
        </w:rPr>
        <w:t>asis for new buildings a</w:t>
      </w:r>
      <w:r w:rsidR="00BE1C82">
        <w:rPr>
          <w:rFonts w:ascii="Arial" w:hAnsi="Arial"/>
          <w:sz w:val="22"/>
        </w:rPr>
        <w:t>nd substantial rehabilitation of</w:t>
      </w:r>
      <w:r w:rsidR="005F6082">
        <w:rPr>
          <w:rFonts w:ascii="Arial" w:hAnsi="Arial"/>
          <w:sz w:val="22"/>
        </w:rPr>
        <w:t xml:space="preserve"> existing buildings that are located in designated </w:t>
      </w:r>
      <w:r w:rsidR="00FD41A8">
        <w:rPr>
          <w:rFonts w:ascii="Arial" w:hAnsi="Arial"/>
          <w:sz w:val="22"/>
        </w:rPr>
        <w:t>QCT</w:t>
      </w:r>
      <w:r w:rsidR="005F6082">
        <w:rPr>
          <w:rFonts w:ascii="Arial" w:hAnsi="Arial"/>
          <w:sz w:val="22"/>
        </w:rPr>
        <w:t xml:space="preserve"> and </w:t>
      </w:r>
      <w:r w:rsidR="002D6668">
        <w:rPr>
          <w:rFonts w:ascii="Arial" w:hAnsi="Arial"/>
          <w:sz w:val="22"/>
        </w:rPr>
        <w:t xml:space="preserve">DDA may be increase by up to 30 </w:t>
      </w:r>
      <w:r w:rsidR="004A2DEB">
        <w:rPr>
          <w:rFonts w:ascii="Arial" w:hAnsi="Arial"/>
          <w:sz w:val="22"/>
        </w:rPr>
        <w:t>percent</w:t>
      </w:r>
      <w:r w:rsidR="005F6082">
        <w:rPr>
          <w:rFonts w:ascii="Arial" w:hAnsi="Arial"/>
          <w:sz w:val="22"/>
        </w:rPr>
        <w:t>.</w:t>
      </w:r>
      <w:r w:rsidR="00FD41A8">
        <w:rPr>
          <w:rFonts w:ascii="Arial" w:hAnsi="Arial"/>
          <w:sz w:val="22"/>
        </w:rPr>
        <w:t xml:space="preserve">  Buildings not located in a QCT may be eligible for the </w:t>
      </w:r>
      <w:r w:rsidR="00FD41A8">
        <w:rPr>
          <w:rFonts w:ascii="Arial" w:hAnsi="Arial" w:cs="Arial"/>
          <w:sz w:val="22"/>
          <w:szCs w:val="22"/>
        </w:rPr>
        <w:t>Discretionary Boost.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t>The cost of depreciable property used in common areas or provided as comparable amenities to all residential units (e.g. carpeting and applianc</w:t>
      </w:r>
      <w:r w:rsidR="002B67A9">
        <w:rPr>
          <w:rFonts w:ascii="Arial" w:hAnsi="Arial"/>
          <w:sz w:val="22"/>
        </w:rPr>
        <w:t>es) is included in determining Eligible B</w:t>
      </w:r>
      <w:r w:rsidR="005F6082">
        <w:rPr>
          <w:rFonts w:ascii="Arial" w:hAnsi="Arial"/>
          <w:sz w:val="22"/>
        </w:rPr>
        <w:t xml:space="preserve">asis.  The cost of tenant facilities (e.g. parking, garages, </w:t>
      </w:r>
      <w:r w:rsidR="004A2DEB">
        <w:rPr>
          <w:rFonts w:ascii="Arial" w:hAnsi="Arial"/>
          <w:sz w:val="22"/>
        </w:rPr>
        <w:t>and swimming</w:t>
      </w:r>
      <w:r w:rsidR="005F6082">
        <w:rPr>
          <w:rFonts w:ascii="Arial" w:hAnsi="Arial"/>
          <w:sz w:val="22"/>
        </w:rPr>
        <w:t xml:space="preserve"> pools) may be included in </w:t>
      </w:r>
      <w:r w:rsidR="002B67A9">
        <w:rPr>
          <w:rFonts w:ascii="Arial" w:hAnsi="Arial"/>
          <w:sz w:val="22"/>
        </w:rPr>
        <w:t>Eligible B</w:t>
      </w:r>
      <w:r w:rsidR="005F6082">
        <w:rPr>
          <w:rFonts w:ascii="Arial" w:hAnsi="Arial"/>
          <w:sz w:val="22"/>
        </w:rPr>
        <w:t>asis if there is no separate charge for use of the facilities and they are made available on a comparable basis to all tenants in the project.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rsidP="00724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sidR="005F6082">
        <w:rPr>
          <w:rFonts w:ascii="Arial" w:hAnsi="Arial"/>
          <w:sz w:val="22"/>
        </w:rPr>
        <w:tab/>
        <w:t xml:space="preserve">The cost of a community service facility is included in </w:t>
      </w:r>
      <w:r w:rsidR="002B67A9">
        <w:rPr>
          <w:rFonts w:ascii="Arial" w:hAnsi="Arial"/>
          <w:sz w:val="22"/>
        </w:rPr>
        <w:t>Eligible Basis</w:t>
      </w:r>
      <w:r w:rsidR="005F6082">
        <w:rPr>
          <w:rFonts w:ascii="Arial" w:hAnsi="Arial"/>
          <w:sz w:val="22"/>
        </w:rPr>
        <w:t xml:space="preserve"> only if the building is located in a </w:t>
      </w:r>
      <w:r w:rsidR="002B67A9">
        <w:rPr>
          <w:rFonts w:ascii="Arial" w:hAnsi="Arial"/>
          <w:sz w:val="22"/>
        </w:rPr>
        <w:t>QCT</w:t>
      </w:r>
      <w:r w:rsidR="00690880">
        <w:rPr>
          <w:rFonts w:ascii="Arial" w:hAnsi="Arial"/>
          <w:sz w:val="22"/>
        </w:rPr>
        <w:t xml:space="preserve"> and the facility is part of t</w:t>
      </w:r>
      <w:r w:rsidR="00BE1C82">
        <w:rPr>
          <w:rFonts w:ascii="Arial" w:hAnsi="Arial"/>
          <w:sz w:val="22"/>
        </w:rPr>
        <w:t xml:space="preserve">he qualified low-income </w:t>
      </w:r>
      <w:r w:rsidR="00690880">
        <w:rPr>
          <w:rFonts w:ascii="Arial" w:hAnsi="Arial"/>
          <w:sz w:val="22"/>
        </w:rPr>
        <w:t xml:space="preserve">project designed to provide appropriate and helpful services to individuals in the area whose income is 60 percent or less of </w:t>
      </w:r>
      <w:r w:rsidR="00BE1C82">
        <w:rPr>
          <w:rFonts w:ascii="Arial" w:hAnsi="Arial"/>
          <w:sz w:val="22"/>
        </w:rPr>
        <w:t xml:space="preserve">AMGI.  Costs includable in Eligible Basis </w:t>
      </w:r>
      <w:r w:rsidR="004A2DEB">
        <w:rPr>
          <w:rFonts w:ascii="Arial" w:hAnsi="Arial"/>
          <w:sz w:val="22"/>
        </w:rPr>
        <w:t>cannot</w:t>
      </w:r>
      <w:r w:rsidR="00BE1C82">
        <w:rPr>
          <w:rFonts w:ascii="Arial" w:hAnsi="Arial"/>
          <w:sz w:val="22"/>
        </w:rPr>
        <w:t xml:space="preserve"> exceed 25 percent of the first $15,000,000 in Eligi</w:t>
      </w:r>
      <w:r w:rsidR="00724395">
        <w:rPr>
          <w:rFonts w:ascii="Arial" w:hAnsi="Arial"/>
          <w:sz w:val="22"/>
        </w:rPr>
        <w:t>b</w:t>
      </w:r>
      <w:r w:rsidR="00BE1C82">
        <w:rPr>
          <w:rFonts w:ascii="Arial" w:hAnsi="Arial"/>
          <w:sz w:val="22"/>
        </w:rPr>
        <w:t>l</w:t>
      </w:r>
      <w:r w:rsidR="00724395">
        <w:rPr>
          <w:rFonts w:ascii="Arial" w:hAnsi="Arial"/>
          <w:sz w:val="22"/>
        </w:rPr>
        <w:t xml:space="preserve">e Basis and 10 percent thereafter. </w:t>
      </w:r>
      <w:r w:rsidR="005F6082">
        <w:rPr>
          <w:rFonts w:ascii="Arial" w:hAnsi="Arial"/>
          <w:sz w:val="22"/>
        </w:rPr>
        <w:t xml:space="preserve">All community service facilities that are part of the same qualified low-income </w:t>
      </w:r>
      <w:r w:rsidR="00BE1C82">
        <w:rPr>
          <w:rFonts w:ascii="Arial" w:hAnsi="Arial"/>
          <w:sz w:val="22"/>
        </w:rPr>
        <w:t>p</w:t>
      </w:r>
      <w:r w:rsidR="005F6082">
        <w:rPr>
          <w:rFonts w:ascii="Arial" w:hAnsi="Arial"/>
          <w:sz w:val="22"/>
        </w:rPr>
        <w:t>roject sha</w:t>
      </w:r>
      <w:r w:rsidR="00724395">
        <w:rPr>
          <w:rFonts w:ascii="Arial" w:hAnsi="Arial"/>
          <w:sz w:val="22"/>
        </w:rPr>
        <w:t>ll be treated as one facility and must be located on the same tract of land as the one used for the project.</w:t>
      </w:r>
    </w:p>
    <w:p w:rsidR="00600022" w:rsidRDefault="00600022" w:rsidP="006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(4)</w:t>
      </w:r>
      <w:r w:rsidR="005F6082">
        <w:rPr>
          <w:rFonts w:ascii="Arial" w:hAnsi="Arial"/>
          <w:sz w:val="22"/>
        </w:rPr>
        <w:tab/>
      </w:r>
      <w:r w:rsidR="005F6082" w:rsidRPr="00CB144A">
        <w:rPr>
          <w:rFonts w:ascii="Arial" w:hAnsi="Arial"/>
          <w:sz w:val="22"/>
        </w:rPr>
        <w:t xml:space="preserve">Eligible Basis is reduced by federal grants, </w:t>
      </w:r>
      <w:r w:rsidR="00724395" w:rsidRPr="00CB144A">
        <w:rPr>
          <w:rFonts w:ascii="Arial" w:hAnsi="Arial"/>
          <w:sz w:val="22"/>
        </w:rPr>
        <w:t xml:space="preserve">market rate </w:t>
      </w:r>
      <w:r w:rsidR="005F6082" w:rsidRPr="00CB144A">
        <w:rPr>
          <w:rFonts w:ascii="Arial" w:hAnsi="Arial"/>
          <w:sz w:val="22"/>
        </w:rPr>
        <w:t>residential rental units</w:t>
      </w:r>
      <w:r w:rsidR="002F3A22" w:rsidRPr="00CB144A">
        <w:rPr>
          <w:rFonts w:ascii="Arial" w:hAnsi="Arial"/>
          <w:sz w:val="22"/>
        </w:rPr>
        <w:t>,</w:t>
      </w:r>
      <w:r w:rsidR="005F6082" w:rsidRPr="00CB144A">
        <w:rPr>
          <w:rFonts w:ascii="Arial" w:hAnsi="Arial"/>
          <w:sz w:val="22"/>
        </w:rPr>
        <w:t xml:space="preserve"> historic rehabilitation </w:t>
      </w:r>
      <w:r w:rsidR="007644EE">
        <w:rPr>
          <w:rFonts w:ascii="Arial" w:hAnsi="Arial"/>
          <w:sz w:val="22"/>
        </w:rPr>
        <w:t xml:space="preserve">tax </w:t>
      </w:r>
      <w:r w:rsidR="005F6082" w:rsidRPr="00CB144A">
        <w:rPr>
          <w:rFonts w:ascii="Arial" w:hAnsi="Arial"/>
          <w:sz w:val="22"/>
        </w:rPr>
        <w:t>credits, and nonresidential rental property.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8A09E7" w:rsidRPr="00E03091" w:rsidRDefault="004941BC" w:rsidP="008A09E7">
      <w:pPr>
        <w:pStyle w:val="Heading2"/>
        <w:spacing w:after="0"/>
        <w:ind w:left="720"/>
        <w:rPr>
          <w:rFonts w:ascii="Arial" w:hAnsi="Arial"/>
          <w:i w:val="0"/>
          <w:sz w:val="22"/>
        </w:rPr>
      </w:pPr>
      <w:r>
        <w:rPr>
          <w:rFonts w:ascii="Arial" w:hAnsi="Arial"/>
          <w:i w:val="0"/>
          <w:sz w:val="22"/>
        </w:rPr>
        <w:t>H</w:t>
      </w:r>
      <w:r w:rsidR="008A09E7" w:rsidRPr="00E03091">
        <w:rPr>
          <w:rFonts w:ascii="Arial" w:hAnsi="Arial"/>
          <w:i w:val="0"/>
          <w:sz w:val="22"/>
        </w:rPr>
        <w:t>.</w:t>
      </w:r>
      <w:r w:rsidR="008A09E7" w:rsidRPr="00E03091">
        <w:rPr>
          <w:rFonts w:ascii="Arial" w:hAnsi="Arial"/>
          <w:i w:val="0"/>
          <w:sz w:val="22"/>
        </w:rPr>
        <w:tab/>
      </w:r>
      <w:r>
        <w:rPr>
          <w:rFonts w:ascii="Arial" w:hAnsi="Arial"/>
          <w:i w:val="0"/>
          <w:sz w:val="22"/>
        </w:rPr>
        <w:t>Qualified Basis/Applicable Fraction</w:t>
      </w:r>
      <w:r w:rsidRPr="00E03091">
        <w:rPr>
          <w:rFonts w:ascii="Arial" w:hAnsi="Arial"/>
          <w:i w:val="0"/>
          <w:sz w:val="22"/>
        </w:rPr>
        <w:t xml:space="preserve"> </w:t>
      </w:r>
      <w:r w:rsidR="008A09E7" w:rsidRPr="00E03091">
        <w:rPr>
          <w:rFonts w:ascii="Arial" w:hAnsi="Arial"/>
          <w:i w:val="0"/>
          <w:sz w:val="22"/>
        </w:rPr>
        <w:fldChar w:fldCharType="begin"/>
      </w:r>
      <w:r w:rsidR="008A09E7" w:rsidRPr="00E03091">
        <w:rPr>
          <w:rFonts w:ascii="Arial" w:hAnsi="Arial"/>
          <w:i w:val="0"/>
          <w:sz w:val="22"/>
        </w:rPr>
        <w:instrText>tc \l2 "H.</w:instrText>
      </w:r>
      <w:r w:rsidR="008A09E7" w:rsidRPr="00E03091">
        <w:rPr>
          <w:rFonts w:ascii="Arial" w:hAnsi="Arial"/>
          <w:i w:val="0"/>
          <w:sz w:val="22"/>
        </w:rPr>
        <w:tab/>
        <w:instrText>Eligible Basis</w:instrText>
      </w:r>
      <w:r w:rsidR="008A09E7" w:rsidRPr="00E03091">
        <w:rPr>
          <w:rFonts w:ascii="Arial" w:hAnsi="Arial"/>
          <w:i w:val="0"/>
          <w:sz w:val="22"/>
        </w:rPr>
        <w:fldChar w:fldCharType="end"/>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Qualifi</w:t>
      </w:r>
      <w:r w:rsidR="00724395">
        <w:rPr>
          <w:rFonts w:ascii="Arial" w:hAnsi="Arial"/>
          <w:sz w:val="22"/>
        </w:rPr>
        <w:t>ed basis is the portion of the Eligible B</w:t>
      </w:r>
      <w:r>
        <w:rPr>
          <w:rFonts w:ascii="Arial" w:hAnsi="Arial"/>
          <w:sz w:val="22"/>
        </w:rPr>
        <w:t>asis applicable to low income housing units in a building</w:t>
      </w:r>
      <w:r w:rsidR="00724395">
        <w:rPr>
          <w:rFonts w:ascii="Arial" w:hAnsi="Arial"/>
          <w:sz w:val="22"/>
        </w:rPr>
        <w:t xml:space="preserve"> (“Qualified Basis”)</w:t>
      </w:r>
      <w:r>
        <w:rPr>
          <w:rFonts w:ascii="Arial" w:hAnsi="Arial"/>
          <w:sz w:val="22"/>
        </w:rPr>
        <w:t>.  Qualified Basis is the product of a project's Eligible Basis multiplied by the Applicable Fraction.  The Applicable Fraction is the lesser of:</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lastRenderedPageBreak/>
        <w:t>(1)</w:t>
      </w:r>
      <w:r w:rsidR="005F6082">
        <w:rPr>
          <w:rFonts w:ascii="Arial" w:hAnsi="Arial"/>
          <w:sz w:val="22"/>
        </w:rPr>
        <w:tab/>
        <w:t>The unit fraction, w</w:t>
      </w:r>
      <w:r w:rsidR="00CB144A">
        <w:rPr>
          <w:rFonts w:ascii="Arial" w:hAnsi="Arial"/>
          <w:sz w:val="22"/>
        </w:rPr>
        <w:t>hich is the number of HTC</w:t>
      </w:r>
      <w:r w:rsidR="005F6082">
        <w:rPr>
          <w:rFonts w:ascii="Arial" w:hAnsi="Arial"/>
          <w:sz w:val="22"/>
        </w:rPr>
        <w:t xml:space="preserve"> units in a building divided by the total number or residential rental units; or</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w:t>
      </w:r>
      <w:r w:rsidR="005F6082">
        <w:rPr>
          <w:rFonts w:ascii="Arial" w:hAnsi="Arial"/>
          <w:sz w:val="22"/>
        </w:rPr>
        <w:tab/>
        <w:t>The floor space fraction which is the total o</w:t>
      </w:r>
      <w:r w:rsidR="00CB144A">
        <w:rPr>
          <w:rFonts w:ascii="Arial" w:hAnsi="Arial"/>
          <w:sz w:val="22"/>
        </w:rPr>
        <w:t xml:space="preserve">f floor space of the HTC </w:t>
      </w:r>
      <w:r w:rsidR="005F6082">
        <w:rPr>
          <w:rFonts w:ascii="Arial" w:hAnsi="Arial"/>
          <w:sz w:val="22"/>
        </w:rPr>
        <w:t>units in the building divided by the total floor space of the residential rental units in the building.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F75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jc w:val="both"/>
        <w:rPr>
          <w:rFonts w:ascii="Arial" w:hAnsi="Arial"/>
          <w:sz w:val="22"/>
        </w:rPr>
      </w:pPr>
      <w:r>
        <w:rPr>
          <w:rFonts w:ascii="Arial" w:hAnsi="Arial"/>
          <w:sz w:val="22"/>
        </w:rPr>
        <w:t>An on-site manager's unit is not considered a residential rental unit</w:t>
      </w:r>
      <w:r w:rsidR="00724395">
        <w:rPr>
          <w:rFonts w:ascii="Arial" w:hAnsi="Arial"/>
          <w:sz w:val="22"/>
        </w:rPr>
        <w:t xml:space="preserve"> and must not be included in either the</w:t>
      </w:r>
      <w:r>
        <w:rPr>
          <w:rFonts w:ascii="Arial" w:hAnsi="Arial"/>
          <w:sz w:val="22"/>
        </w:rPr>
        <w:t xml:space="preserve"> numerator or denomin</w:t>
      </w:r>
      <w:r w:rsidR="00BE1C82">
        <w:rPr>
          <w:rFonts w:ascii="Arial" w:hAnsi="Arial"/>
          <w:sz w:val="22"/>
        </w:rPr>
        <w:t>ator for calculating the applicable f</w:t>
      </w:r>
      <w:r>
        <w:rPr>
          <w:rFonts w:ascii="Arial" w:hAnsi="Arial"/>
          <w:sz w:val="22"/>
        </w:rPr>
        <w:t>raction.</w:t>
      </w:r>
    </w:p>
    <w:p w:rsidR="005F6082" w:rsidRPr="00F7518F" w:rsidRDefault="004941BC" w:rsidP="00F7518F">
      <w:pPr>
        <w:pStyle w:val="Heading2"/>
        <w:spacing w:before="120" w:after="0"/>
        <w:ind w:left="720"/>
        <w:rPr>
          <w:rFonts w:ascii="Arial" w:hAnsi="Arial"/>
          <w:i w:val="0"/>
          <w:sz w:val="22"/>
        </w:rPr>
      </w:pPr>
      <w:bookmarkStart w:id="32" w:name="_Toc511903011"/>
      <w:r>
        <w:rPr>
          <w:rFonts w:ascii="Arial" w:hAnsi="Arial"/>
          <w:i w:val="0"/>
          <w:sz w:val="22"/>
        </w:rPr>
        <w:t>I</w:t>
      </w:r>
      <w:r w:rsidR="005F6082" w:rsidRPr="00E03091">
        <w:rPr>
          <w:rFonts w:ascii="Arial" w:hAnsi="Arial"/>
          <w:i w:val="0"/>
          <w:sz w:val="22"/>
        </w:rPr>
        <w:t>.</w:t>
      </w:r>
      <w:r w:rsidR="005F6082" w:rsidRPr="00E03091">
        <w:rPr>
          <w:rFonts w:ascii="Arial" w:hAnsi="Arial"/>
          <w:i w:val="0"/>
          <w:sz w:val="22"/>
        </w:rPr>
        <w:tab/>
        <w:t xml:space="preserve">Annual </w:t>
      </w:r>
      <w:r w:rsidR="00BE1C82" w:rsidRPr="00BE1C82">
        <w:rPr>
          <w:rFonts w:ascii="Arial" w:hAnsi="Arial"/>
          <w:i w:val="0"/>
          <w:sz w:val="22"/>
        </w:rPr>
        <w:t>HTC</w:t>
      </w:r>
      <w:r w:rsidR="00BE1C82">
        <w:rPr>
          <w:rFonts w:ascii="Arial" w:hAnsi="Arial"/>
          <w:i w:val="0"/>
          <w:sz w:val="22"/>
        </w:rPr>
        <w:t xml:space="preserve"> </w:t>
      </w:r>
      <w:r w:rsidR="005F6082" w:rsidRPr="00E03091">
        <w:rPr>
          <w:rFonts w:ascii="Arial" w:hAnsi="Arial"/>
          <w:i w:val="0"/>
          <w:sz w:val="22"/>
        </w:rPr>
        <w:t>Amount</w:t>
      </w:r>
      <w:r w:rsidR="005F6082" w:rsidRPr="00E03091">
        <w:rPr>
          <w:rFonts w:ascii="Arial" w:hAnsi="Arial"/>
          <w:i w:val="0"/>
          <w:sz w:val="22"/>
        </w:rPr>
        <w:fldChar w:fldCharType="begin"/>
      </w:r>
      <w:r w:rsidR="005F6082" w:rsidRPr="00E03091">
        <w:rPr>
          <w:rFonts w:ascii="Arial" w:hAnsi="Arial"/>
          <w:i w:val="0"/>
          <w:sz w:val="22"/>
        </w:rPr>
        <w:instrText>tc \l2 "J.</w:instrText>
      </w:r>
      <w:r w:rsidR="005F6082" w:rsidRPr="00E03091">
        <w:rPr>
          <w:rFonts w:ascii="Arial" w:hAnsi="Arial"/>
          <w:i w:val="0"/>
          <w:sz w:val="22"/>
        </w:rPr>
        <w:tab/>
        <w:instrText>Annual Credit Amount</w:instrText>
      </w:r>
      <w:r w:rsidR="005F6082" w:rsidRPr="00E03091">
        <w:rPr>
          <w:rFonts w:ascii="Arial" w:hAnsi="Arial"/>
          <w:i w:val="0"/>
          <w:sz w:val="22"/>
        </w:rPr>
        <w:fldChar w:fldCharType="end"/>
      </w:r>
      <w:bookmarkEnd w:id="32"/>
    </w:p>
    <w:p w:rsidR="00F7518F" w:rsidRDefault="00F75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w:t>
      </w:r>
      <w:r w:rsidR="00600022">
        <w:rPr>
          <w:rFonts w:ascii="Arial" w:hAnsi="Arial" w:cs="Arial"/>
          <w:sz w:val="22"/>
          <w:szCs w:val="22"/>
        </w:rPr>
        <w:t xml:space="preserve">HTC </w:t>
      </w:r>
      <w:r>
        <w:rPr>
          <w:rFonts w:ascii="Arial" w:hAnsi="Arial"/>
          <w:sz w:val="22"/>
        </w:rPr>
        <w:t xml:space="preserve">is available each year for </w:t>
      </w:r>
      <w:r w:rsidR="00BE1C82">
        <w:rPr>
          <w:rFonts w:ascii="Arial" w:hAnsi="Arial"/>
          <w:sz w:val="22"/>
        </w:rPr>
        <w:t>over a 10</w:t>
      </w:r>
      <w:r w:rsidR="00AA57F5">
        <w:rPr>
          <w:rFonts w:ascii="Arial" w:hAnsi="Arial"/>
          <w:sz w:val="22"/>
        </w:rPr>
        <w:t>-</w:t>
      </w:r>
      <w:r w:rsidR="00BE1C82">
        <w:rPr>
          <w:rFonts w:ascii="Arial" w:hAnsi="Arial"/>
          <w:sz w:val="22"/>
        </w:rPr>
        <w:t>year period</w:t>
      </w:r>
      <w:r>
        <w:rPr>
          <w:rFonts w:ascii="Arial" w:hAnsi="Arial"/>
          <w:sz w:val="22"/>
        </w:rPr>
        <w:t xml:space="preserve">.  The amount of </w:t>
      </w:r>
      <w:r w:rsidR="00600022">
        <w:rPr>
          <w:rFonts w:ascii="Arial" w:hAnsi="Arial" w:cs="Arial"/>
          <w:sz w:val="22"/>
          <w:szCs w:val="22"/>
        </w:rPr>
        <w:t xml:space="preserve">HTC </w:t>
      </w:r>
      <w:r>
        <w:rPr>
          <w:rFonts w:ascii="Arial" w:hAnsi="Arial"/>
          <w:sz w:val="22"/>
        </w:rPr>
        <w:t xml:space="preserve">awarded is based on the Qualified Basis multiplied by the Applicable Credit Rate.  However, Section 42(m)(2) </w:t>
      </w:r>
      <w:r w:rsidR="001D7E91">
        <w:rPr>
          <w:rFonts w:ascii="Arial" w:hAnsi="Arial"/>
          <w:sz w:val="22"/>
        </w:rPr>
        <w:t xml:space="preserve">of the Code </w:t>
      </w:r>
      <w:r>
        <w:rPr>
          <w:rFonts w:ascii="Arial" w:hAnsi="Arial"/>
          <w:sz w:val="22"/>
        </w:rPr>
        <w:t xml:space="preserve">requires the Board to limit the amount of the </w:t>
      </w:r>
      <w:r w:rsidR="001A503C">
        <w:rPr>
          <w:rFonts w:ascii="Arial" w:hAnsi="Arial"/>
          <w:sz w:val="22"/>
        </w:rPr>
        <w:t>HTC</w:t>
      </w:r>
      <w:r w:rsidR="00724930">
        <w:rPr>
          <w:rFonts w:ascii="Arial" w:hAnsi="Arial"/>
          <w:sz w:val="22"/>
        </w:rPr>
        <w:t xml:space="preserve"> to the amount necessary to en</w:t>
      </w:r>
      <w:r>
        <w:rPr>
          <w:rFonts w:ascii="Arial" w:hAnsi="Arial"/>
          <w:sz w:val="22"/>
        </w:rPr>
        <w:t xml:space="preserve">sure </w:t>
      </w:r>
      <w:r w:rsidR="001A503C">
        <w:rPr>
          <w:rFonts w:ascii="Arial" w:hAnsi="Arial"/>
          <w:sz w:val="22"/>
        </w:rPr>
        <w:t xml:space="preserve">the financial </w:t>
      </w:r>
      <w:r>
        <w:rPr>
          <w:rFonts w:ascii="Arial" w:hAnsi="Arial"/>
          <w:sz w:val="22"/>
        </w:rPr>
        <w:t xml:space="preserve">feasibility </w:t>
      </w:r>
      <w:r w:rsidR="001A503C">
        <w:rPr>
          <w:rFonts w:ascii="Arial" w:hAnsi="Arial"/>
          <w:sz w:val="22"/>
        </w:rPr>
        <w:t>of a project</w:t>
      </w:r>
      <w:r>
        <w:rPr>
          <w:rFonts w:ascii="Arial" w:hAnsi="Arial"/>
          <w:sz w:val="22"/>
        </w:rPr>
        <w:t xml:space="preserve">; therefore, the actual amount of </w:t>
      </w:r>
      <w:r w:rsidR="001A503C">
        <w:rPr>
          <w:rFonts w:ascii="Arial" w:hAnsi="Arial"/>
          <w:sz w:val="22"/>
        </w:rPr>
        <w:t xml:space="preserve">HTC </w:t>
      </w:r>
      <w:r>
        <w:rPr>
          <w:rFonts w:ascii="Arial" w:hAnsi="Arial"/>
          <w:sz w:val="22"/>
        </w:rPr>
        <w:t xml:space="preserve">awarded could be less than the maximum allowable if </w:t>
      </w:r>
      <w:r w:rsidR="007644EE">
        <w:rPr>
          <w:rFonts w:ascii="Arial" w:hAnsi="Arial"/>
          <w:sz w:val="22"/>
        </w:rPr>
        <w:t xml:space="preserve">the </w:t>
      </w:r>
      <w:r>
        <w:rPr>
          <w:rFonts w:ascii="Arial" w:hAnsi="Arial"/>
          <w:sz w:val="22"/>
        </w:rPr>
        <w:t>Board analysis reveals the project wo</w:t>
      </w:r>
      <w:r w:rsidR="00724930">
        <w:rPr>
          <w:rFonts w:ascii="Arial" w:hAnsi="Arial"/>
          <w:sz w:val="22"/>
        </w:rPr>
        <w:t>uld still be feasible with less</w:t>
      </w:r>
      <w:r>
        <w:rPr>
          <w:rFonts w:ascii="Arial" w:hAnsi="Arial"/>
          <w:sz w:val="22"/>
        </w:rPr>
        <w:t xml:space="preserve"> </w:t>
      </w:r>
      <w:r w:rsidR="001A503C">
        <w:rPr>
          <w:rFonts w:ascii="Arial" w:hAnsi="Arial"/>
          <w:sz w:val="22"/>
        </w:rPr>
        <w:t>HTC</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IRS publishes on a monthly basis the applicable percentages (Applicable Credit Rate) to be used in calculating the maximum allowable annual </w:t>
      </w:r>
      <w:r w:rsidR="00CB144A">
        <w:rPr>
          <w:rFonts w:ascii="Arial" w:hAnsi="Arial"/>
          <w:sz w:val="22"/>
        </w:rPr>
        <w:t xml:space="preserve">4% </w:t>
      </w:r>
      <w:r w:rsidR="001A503C">
        <w:rPr>
          <w:rFonts w:ascii="Arial" w:hAnsi="Arial"/>
          <w:sz w:val="22"/>
        </w:rPr>
        <w:t xml:space="preserve">HTC </w:t>
      </w:r>
      <w:r>
        <w:rPr>
          <w:rFonts w:ascii="Arial" w:hAnsi="Arial"/>
          <w:sz w:val="22"/>
        </w:rPr>
        <w:t>amount for which the project will be eligible.</w:t>
      </w:r>
    </w:p>
    <w:p w:rsidR="00AA57F5" w:rsidRDefault="00AA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4941BC" w:rsidP="00AA57F5">
      <w:pPr>
        <w:pStyle w:val="Heading2"/>
        <w:spacing w:before="0" w:after="0"/>
        <w:ind w:left="720"/>
        <w:rPr>
          <w:rFonts w:ascii="Arial" w:hAnsi="Arial"/>
          <w:i w:val="0"/>
          <w:sz w:val="22"/>
        </w:rPr>
      </w:pPr>
      <w:bookmarkStart w:id="33" w:name="_Toc511903012"/>
      <w:r>
        <w:rPr>
          <w:rFonts w:ascii="Arial" w:hAnsi="Arial"/>
          <w:i w:val="0"/>
          <w:sz w:val="22"/>
        </w:rPr>
        <w:t>J</w:t>
      </w:r>
      <w:r w:rsidR="005F6082" w:rsidRPr="00E03091">
        <w:rPr>
          <w:rFonts w:ascii="Arial" w:hAnsi="Arial"/>
          <w:i w:val="0"/>
          <w:sz w:val="22"/>
        </w:rPr>
        <w:t>.</w:t>
      </w:r>
      <w:r w:rsidR="005F6082" w:rsidRPr="00E03091">
        <w:rPr>
          <w:rFonts w:ascii="Arial" w:hAnsi="Arial"/>
          <w:i w:val="0"/>
          <w:sz w:val="22"/>
        </w:rPr>
        <w:tab/>
        <w:t xml:space="preserve">Declaration </w:t>
      </w:r>
      <w:r w:rsidR="002C5BB9" w:rsidRPr="00E03091">
        <w:rPr>
          <w:rFonts w:ascii="Arial" w:hAnsi="Arial"/>
          <w:i w:val="0"/>
          <w:sz w:val="22"/>
        </w:rPr>
        <w:t>o</w:t>
      </w:r>
      <w:r w:rsidR="005F6082" w:rsidRPr="00E03091">
        <w:rPr>
          <w:rFonts w:ascii="Arial" w:hAnsi="Arial"/>
          <w:i w:val="0"/>
          <w:sz w:val="22"/>
        </w:rPr>
        <w:t>f Land Use Restrictive Covenants</w:t>
      </w:r>
      <w:r w:rsidR="005F6082" w:rsidRPr="00E03091">
        <w:rPr>
          <w:rFonts w:ascii="Arial" w:hAnsi="Arial"/>
          <w:i w:val="0"/>
          <w:sz w:val="22"/>
        </w:rPr>
        <w:fldChar w:fldCharType="begin"/>
      </w:r>
      <w:r w:rsidR="005F6082" w:rsidRPr="00E03091">
        <w:rPr>
          <w:rFonts w:ascii="Arial" w:hAnsi="Arial"/>
          <w:i w:val="0"/>
          <w:sz w:val="22"/>
        </w:rPr>
        <w:instrText>tc \l2 "K.</w:instrText>
      </w:r>
      <w:r w:rsidR="005F6082" w:rsidRPr="00E03091">
        <w:rPr>
          <w:rFonts w:ascii="Arial" w:hAnsi="Arial"/>
          <w:i w:val="0"/>
          <w:sz w:val="22"/>
        </w:rPr>
        <w:tab/>
        <w:instrText>Declaration Of Land Use Restrictive Covenants</w:instrText>
      </w:r>
      <w:r w:rsidR="005F6082" w:rsidRPr="00E03091">
        <w:rPr>
          <w:rFonts w:ascii="Arial" w:hAnsi="Arial"/>
          <w:i w:val="0"/>
          <w:sz w:val="22"/>
        </w:rPr>
        <w:fldChar w:fldCharType="end"/>
      </w:r>
      <w:bookmarkEnd w:id="33"/>
    </w:p>
    <w:p w:rsidR="00AA57F5" w:rsidRPr="00AA57F5" w:rsidRDefault="00AA57F5" w:rsidP="00AA57F5"/>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F66F9">
        <w:rPr>
          <w:rFonts w:ascii="Arial" w:hAnsi="Arial"/>
          <w:sz w:val="22"/>
        </w:rPr>
        <w:t xml:space="preserve">Prior to an allocation of </w:t>
      </w:r>
      <w:r w:rsidR="00600022">
        <w:rPr>
          <w:rFonts w:ascii="Arial" w:hAnsi="Arial" w:cs="Arial"/>
          <w:sz w:val="22"/>
          <w:szCs w:val="22"/>
        </w:rPr>
        <w:t>HTC</w:t>
      </w:r>
      <w:r w:rsidR="001A503C">
        <w:rPr>
          <w:rFonts w:ascii="Arial" w:hAnsi="Arial"/>
          <w:sz w:val="22"/>
        </w:rPr>
        <w:t>, a project</w:t>
      </w:r>
      <w:r w:rsidRPr="007F66F9">
        <w:rPr>
          <w:rFonts w:ascii="Arial" w:hAnsi="Arial"/>
          <w:sz w:val="22"/>
        </w:rPr>
        <w:t xml:space="preserve"> must be subject to a Declaration between the owner and the Board, through which the owner commits the </w:t>
      </w:r>
      <w:r w:rsidR="001A503C">
        <w:rPr>
          <w:rFonts w:ascii="Arial" w:hAnsi="Arial"/>
          <w:sz w:val="22"/>
        </w:rPr>
        <w:t xml:space="preserve">project </w:t>
      </w:r>
      <w:r w:rsidRPr="007F66F9">
        <w:rPr>
          <w:rFonts w:ascii="Arial" w:hAnsi="Arial"/>
          <w:sz w:val="22"/>
        </w:rPr>
        <w:t>to low income use for a period of at least 15 years after the conclusion of the 15</w:t>
      </w:r>
      <w:r w:rsidRPr="007F66F9">
        <w:rPr>
          <w:rFonts w:ascii="Arial" w:hAnsi="Arial"/>
          <w:sz w:val="22"/>
        </w:rPr>
        <w:noBreakHyphen/>
        <w:t>year compliance period (a total of 30 years).</w:t>
      </w:r>
    </w:p>
    <w:p w:rsidR="00B729B6" w:rsidRPr="007F66F9" w:rsidRDefault="00B72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53F52" w:rsidRPr="00E962B8" w:rsidRDefault="008145F4" w:rsidP="0075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Pr>
          <w:rFonts w:ascii="Arial" w:hAnsi="Arial"/>
          <w:sz w:val="22"/>
        </w:rPr>
        <w:t xml:space="preserve">During the extended use period, the Declaration terminates only upon </w:t>
      </w:r>
      <w:r w:rsidR="00037199">
        <w:rPr>
          <w:rFonts w:ascii="Arial" w:hAnsi="Arial"/>
          <w:sz w:val="22"/>
        </w:rPr>
        <w:t>foreclosure</w:t>
      </w:r>
      <w:r w:rsidR="009708BC">
        <w:rPr>
          <w:rFonts w:ascii="Arial" w:hAnsi="Arial"/>
          <w:color w:val="FF0000"/>
          <w:sz w:val="22"/>
        </w:rPr>
        <w:t xml:space="preserve"> </w:t>
      </w:r>
      <w:r w:rsidR="001A503C">
        <w:rPr>
          <w:rFonts w:ascii="Arial" w:hAnsi="Arial"/>
          <w:sz w:val="22"/>
        </w:rPr>
        <w:t>of the project</w:t>
      </w:r>
      <w:r w:rsidR="00724930">
        <w:rPr>
          <w:rFonts w:ascii="Arial" w:hAnsi="Arial"/>
          <w:sz w:val="22"/>
        </w:rPr>
        <w:t xml:space="preserve"> or a </w:t>
      </w:r>
      <w:r w:rsidR="004A2DEB">
        <w:rPr>
          <w:rFonts w:ascii="Arial" w:hAnsi="Arial"/>
          <w:sz w:val="22"/>
        </w:rPr>
        <w:t>Qualified</w:t>
      </w:r>
      <w:r w:rsidR="00724930">
        <w:rPr>
          <w:rFonts w:ascii="Arial" w:hAnsi="Arial"/>
          <w:sz w:val="22"/>
        </w:rPr>
        <w:t xml:space="preserve"> Contract</w:t>
      </w:r>
      <w:r w:rsidR="006725FF" w:rsidRPr="00AD5780">
        <w:rPr>
          <w:rFonts w:ascii="Arial" w:hAnsi="Arial"/>
          <w:sz w:val="22"/>
        </w:rPr>
        <w:t xml:space="preserve">. For a period of three </w:t>
      </w:r>
      <w:r w:rsidR="00600022">
        <w:rPr>
          <w:rFonts w:ascii="Arial" w:hAnsi="Arial"/>
          <w:sz w:val="22"/>
        </w:rPr>
        <w:t xml:space="preserve">(3) </w:t>
      </w:r>
      <w:r w:rsidR="006725FF" w:rsidRPr="00AD5780">
        <w:rPr>
          <w:rFonts w:ascii="Arial" w:hAnsi="Arial"/>
          <w:sz w:val="22"/>
        </w:rPr>
        <w:t xml:space="preserve">years </w:t>
      </w:r>
      <w:r w:rsidR="001A503C">
        <w:rPr>
          <w:rFonts w:ascii="Arial" w:hAnsi="Arial"/>
          <w:sz w:val="22"/>
        </w:rPr>
        <w:t xml:space="preserve">after the </w:t>
      </w:r>
      <w:r w:rsidR="006725FF" w:rsidRPr="00AD5780">
        <w:rPr>
          <w:rFonts w:ascii="Arial" w:hAnsi="Arial"/>
          <w:sz w:val="22"/>
        </w:rPr>
        <w:t xml:space="preserve">termination of the Declaration, the owner may not evict low income tenants (other than for good cause) and may not increase the gross rent above the maximum allowed under </w:t>
      </w:r>
      <w:r w:rsidR="001A503C">
        <w:rPr>
          <w:rFonts w:ascii="Arial" w:hAnsi="Arial"/>
          <w:sz w:val="22"/>
        </w:rPr>
        <w:t xml:space="preserve">Section 42 </w:t>
      </w:r>
      <w:r w:rsidR="001D7E91">
        <w:rPr>
          <w:rFonts w:ascii="Arial" w:hAnsi="Arial"/>
          <w:sz w:val="22"/>
        </w:rPr>
        <w:t xml:space="preserve">of the Code </w:t>
      </w:r>
      <w:r w:rsidR="006725FF" w:rsidRPr="00AD5780">
        <w:rPr>
          <w:rFonts w:ascii="Arial" w:hAnsi="Arial"/>
          <w:sz w:val="22"/>
        </w:rPr>
        <w:t>with respect to such low income unit</w:t>
      </w:r>
      <w:r w:rsidR="001A503C">
        <w:rPr>
          <w:rFonts w:ascii="Arial" w:hAnsi="Arial"/>
          <w:sz w:val="22"/>
        </w:rPr>
        <w:t>s</w:t>
      </w:r>
      <w:r w:rsidR="0004733F" w:rsidRPr="00AD5780">
        <w:rPr>
          <w:rFonts w:ascii="Arial" w:hAnsi="Arial"/>
          <w:sz w:val="22"/>
        </w:rPr>
        <w:t xml:space="preserve">. </w:t>
      </w:r>
      <w:r w:rsidR="006725FF" w:rsidRPr="00AD5780">
        <w:rPr>
          <w:rFonts w:ascii="Arial" w:hAnsi="Arial"/>
          <w:sz w:val="22"/>
        </w:rPr>
        <w:t xml:space="preserve">Beginning with the 2018 </w:t>
      </w:r>
      <w:r w:rsidR="00BD7596">
        <w:rPr>
          <w:rFonts w:ascii="Arial" w:hAnsi="Arial" w:cs="Arial"/>
          <w:sz w:val="22"/>
          <w:szCs w:val="22"/>
        </w:rPr>
        <w:t>HTC</w:t>
      </w:r>
      <w:r w:rsidR="00600022">
        <w:rPr>
          <w:rFonts w:ascii="Arial" w:hAnsi="Arial" w:cs="Arial"/>
          <w:sz w:val="22"/>
          <w:szCs w:val="22"/>
        </w:rPr>
        <w:t xml:space="preserve"> </w:t>
      </w:r>
      <w:r w:rsidR="001A503C">
        <w:rPr>
          <w:rFonts w:ascii="Arial" w:hAnsi="Arial"/>
          <w:sz w:val="22"/>
        </w:rPr>
        <w:t>P</w:t>
      </w:r>
      <w:r w:rsidR="006725FF" w:rsidRPr="00AD5780">
        <w:rPr>
          <w:rFonts w:ascii="Arial" w:hAnsi="Arial"/>
          <w:sz w:val="22"/>
        </w:rPr>
        <w:t xml:space="preserve">rogram, </w:t>
      </w:r>
      <w:r w:rsidR="00753F52" w:rsidRPr="00AD5780">
        <w:rPr>
          <w:rFonts w:ascii="Arial" w:hAnsi="Arial"/>
          <w:sz w:val="22"/>
        </w:rPr>
        <w:t>owners</w:t>
      </w:r>
      <w:r w:rsidR="00DE4ABE" w:rsidRPr="00AD5780">
        <w:rPr>
          <w:rFonts w:ascii="Arial" w:hAnsi="Arial"/>
          <w:sz w:val="22"/>
        </w:rPr>
        <w:t xml:space="preserve"> </w:t>
      </w:r>
      <w:r w:rsidR="00753F52" w:rsidRPr="00AD5780">
        <w:rPr>
          <w:rFonts w:ascii="Arial" w:hAnsi="Arial"/>
          <w:sz w:val="22"/>
        </w:rPr>
        <w:t xml:space="preserve">who have financed their </w:t>
      </w:r>
      <w:r w:rsidR="00724930">
        <w:rPr>
          <w:rFonts w:ascii="Arial" w:hAnsi="Arial"/>
          <w:sz w:val="22"/>
        </w:rPr>
        <w:t>projects</w:t>
      </w:r>
      <w:r w:rsidR="00753F52" w:rsidRPr="00AD5780">
        <w:rPr>
          <w:rFonts w:ascii="Arial" w:hAnsi="Arial"/>
          <w:sz w:val="22"/>
        </w:rPr>
        <w:t xml:space="preserve"> with tax exempt bonds and are receiving 4% </w:t>
      </w:r>
      <w:r w:rsidR="008D7A31">
        <w:rPr>
          <w:rFonts w:ascii="Arial" w:hAnsi="Arial"/>
          <w:sz w:val="22"/>
        </w:rPr>
        <w:t>HTC</w:t>
      </w:r>
      <w:r w:rsidR="00753F52">
        <w:rPr>
          <w:rFonts w:ascii="Arial" w:hAnsi="Arial"/>
          <w:color w:val="FF0000"/>
          <w:sz w:val="22"/>
        </w:rPr>
        <w:t xml:space="preserve"> </w:t>
      </w:r>
      <w:r w:rsidR="0004733F" w:rsidRPr="003469CC">
        <w:rPr>
          <w:rFonts w:ascii="Arial" w:hAnsi="Arial"/>
          <w:sz w:val="22"/>
        </w:rPr>
        <w:t xml:space="preserve">must </w:t>
      </w:r>
      <w:r w:rsidR="00753F52">
        <w:rPr>
          <w:rFonts w:ascii="Arial" w:hAnsi="Arial"/>
          <w:sz w:val="22"/>
        </w:rPr>
        <w:t xml:space="preserve">make a minimum </w:t>
      </w:r>
      <w:r w:rsidR="0004733F" w:rsidRPr="003469CC">
        <w:rPr>
          <w:rFonts w:ascii="Arial" w:hAnsi="Arial"/>
          <w:sz w:val="22"/>
        </w:rPr>
        <w:t>commit</w:t>
      </w:r>
      <w:r w:rsidR="00753F52">
        <w:rPr>
          <w:rFonts w:ascii="Arial" w:hAnsi="Arial"/>
          <w:sz w:val="22"/>
        </w:rPr>
        <w:t xml:space="preserve">ment </w:t>
      </w:r>
      <w:r w:rsidR="0004733F" w:rsidRPr="003469CC">
        <w:rPr>
          <w:rFonts w:ascii="Arial" w:hAnsi="Arial"/>
          <w:sz w:val="22"/>
        </w:rPr>
        <w:t xml:space="preserve"> to </w:t>
      </w:r>
      <w:r w:rsidR="004A2DEB" w:rsidRPr="003469CC">
        <w:rPr>
          <w:rFonts w:ascii="Arial" w:hAnsi="Arial"/>
          <w:sz w:val="22"/>
        </w:rPr>
        <w:t>Section</w:t>
      </w:r>
      <w:r w:rsidR="0004733F" w:rsidRPr="003469CC">
        <w:rPr>
          <w:rFonts w:ascii="Arial" w:hAnsi="Arial"/>
          <w:sz w:val="22"/>
        </w:rPr>
        <w:t xml:space="preserve"> 42</w:t>
      </w:r>
      <w:r w:rsidR="001D7E91">
        <w:rPr>
          <w:rFonts w:ascii="Arial" w:hAnsi="Arial"/>
          <w:sz w:val="22"/>
        </w:rPr>
        <w:t xml:space="preserve"> of the Code</w:t>
      </w:r>
      <w:r w:rsidR="0004733F" w:rsidRPr="003469CC">
        <w:rPr>
          <w:rFonts w:ascii="Arial" w:hAnsi="Arial"/>
          <w:sz w:val="22"/>
        </w:rPr>
        <w:t xml:space="preserve"> income and </w:t>
      </w:r>
      <w:r w:rsidR="00D31F34" w:rsidRPr="003469CC">
        <w:rPr>
          <w:rFonts w:ascii="Arial" w:hAnsi="Arial"/>
          <w:sz w:val="22"/>
        </w:rPr>
        <w:t>r</w:t>
      </w:r>
      <w:r w:rsidR="00B729B6" w:rsidRPr="003469CC">
        <w:rPr>
          <w:rFonts w:ascii="Arial" w:hAnsi="Arial"/>
          <w:sz w:val="22"/>
        </w:rPr>
        <w:t xml:space="preserve">ent </w:t>
      </w:r>
      <w:r w:rsidR="0004733F" w:rsidRPr="003469CC">
        <w:rPr>
          <w:rFonts w:ascii="Arial" w:hAnsi="Arial"/>
          <w:sz w:val="22"/>
        </w:rPr>
        <w:t xml:space="preserve">restrictions for a period of 20 years beginning with the first day of the </w:t>
      </w:r>
      <w:r w:rsidR="00724930">
        <w:rPr>
          <w:rFonts w:ascii="Arial" w:hAnsi="Arial"/>
          <w:sz w:val="22"/>
        </w:rPr>
        <w:t xml:space="preserve">15-year </w:t>
      </w:r>
      <w:r w:rsidR="0004733F" w:rsidRPr="003469CC">
        <w:rPr>
          <w:rFonts w:ascii="Arial" w:hAnsi="Arial"/>
          <w:sz w:val="22"/>
        </w:rPr>
        <w:t>compliance</w:t>
      </w:r>
      <w:r w:rsidR="009708BC">
        <w:rPr>
          <w:rFonts w:ascii="Arial" w:hAnsi="Arial"/>
          <w:sz w:val="22"/>
        </w:rPr>
        <w:t xml:space="preserve"> </w:t>
      </w:r>
      <w:r w:rsidR="0004733F" w:rsidRPr="003469CC">
        <w:rPr>
          <w:rFonts w:ascii="Arial" w:hAnsi="Arial"/>
          <w:sz w:val="22"/>
        </w:rPr>
        <w:t xml:space="preserve">period </w:t>
      </w:r>
      <w:r w:rsidR="00437DF1" w:rsidRPr="00AD5780">
        <w:rPr>
          <w:rFonts w:ascii="Arial" w:hAnsi="Arial"/>
          <w:sz w:val="22"/>
        </w:rPr>
        <w:t>and must agree to waive the provisions with respect to Section</w:t>
      </w:r>
      <w:r w:rsidR="00D2690E">
        <w:rPr>
          <w:rFonts w:ascii="Arial" w:hAnsi="Arial"/>
          <w:sz w:val="22"/>
        </w:rPr>
        <w:t>s</w:t>
      </w:r>
      <w:r w:rsidR="00437DF1" w:rsidRPr="00AD5780">
        <w:rPr>
          <w:rFonts w:ascii="Arial" w:hAnsi="Arial"/>
          <w:sz w:val="22"/>
        </w:rPr>
        <w:t xml:space="preserve"> 42(h)(6)(E)(i)(II) and 42(h)(6)(F) of the Code</w:t>
      </w:r>
      <w:r w:rsidR="00753F52" w:rsidRPr="00AD5780">
        <w:rPr>
          <w:rFonts w:ascii="Arial" w:hAnsi="Arial"/>
          <w:sz w:val="22"/>
        </w:rPr>
        <w:t xml:space="preserve"> in the Declaration</w:t>
      </w:r>
      <w:r w:rsidR="00753F52" w:rsidRPr="00AD5780">
        <w:rPr>
          <w:rFonts w:ascii="Arial" w:hAnsi="Arial" w:cs="Arial"/>
          <w:sz w:val="22"/>
          <w:szCs w:val="22"/>
        </w:rPr>
        <w:t xml:space="preserve">. </w:t>
      </w:r>
      <w:r w:rsidR="00AD5780" w:rsidRPr="00AD5780">
        <w:rPr>
          <w:rFonts w:ascii="Arial" w:hAnsi="Arial" w:cs="Arial"/>
          <w:sz w:val="22"/>
          <w:szCs w:val="22"/>
        </w:rPr>
        <w:t xml:space="preserve">For Minneapolis </w:t>
      </w:r>
      <w:r w:rsidR="00EE2A3B">
        <w:rPr>
          <w:rFonts w:ascii="Arial" w:hAnsi="Arial" w:cs="Arial"/>
          <w:sz w:val="22"/>
          <w:szCs w:val="22"/>
        </w:rPr>
        <w:t xml:space="preserve">and Saint Paul </w:t>
      </w:r>
      <w:r w:rsidR="00AD5780" w:rsidRPr="00AD5780">
        <w:rPr>
          <w:rFonts w:ascii="Arial" w:hAnsi="Arial" w:cs="Arial"/>
          <w:sz w:val="22"/>
          <w:szCs w:val="22"/>
        </w:rPr>
        <w:t>projects, if</w:t>
      </w:r>
      <w:r w:rsidR="00E962B8" w:rsidRPr="00AD5780">
        <w:rPr>
          <w:rFonts w:ascii="Arial" w:hAnsi="Arial" w:cs="Arial"/>
          <w:sz w:val="22"/>
          <w:szCs w:val="22"/>
        </w:rPr>
        <w:t xml:space="preserve"> </w:t>
      </w:r>
      <w:r w:rsidR="00D2690E">
        <w:rPr>
          <w:rFonts w:ascii="Arial" w:hAnsi="Arial" w:cs="Arial"/>
          <w:sz w:val="22"/>
          <w:szCs w:val="22"/>
        </w:rPr>
        <w:t xml:space="preserve">the owner </w:t>
      </w:r>
      <w:r w:rsidR="00E962B8" w:rsidRPr="00AD5780">
        <w:rPr>
          <w:rFonts w:ascii="Arial" w:hAnsi="Arial" w:cs="Arial"/>
          <w:sz w:val="22"/>
          <w:szCs w:val="22"/>
        </w:rPr>
        <w:t xml:space="preserve">of such 4% </w:t>
      </w:r>
      <w:r w:rsidR="001A503C">
        <w:rPr>
          <w:rFonts w:ascii="Arial" w:hAnsi="Arial" w:cs="Arial"/>
          <w:sz w:val="22"/>
          <w:szCs w:val="22"/>
        </w:rPr>
        <w:t xml:space="preserve">HTC </w:t>
      </w:r>
      <w:r w:rsidR="00D2690E">
        <w:rPr>
          <w:rFonts w:ascii="Arial" w:hAnsi="Arial" w:cs="Arial"/>
          <w:sz w:val="22"/>
          <w:szCs w:val="22"/>
        </w:rPr>
        <w:t>project</w:t>
      </w:r>
      <w:r w:rsidR="00E962B8" w:rsidRPr="00AD5780">
        <w:rPr>
          <w:rFonts w:ascii="Arial" w:hAnsi="Arial" w:cs="Arial"/>
          <w:sz w:val="22"/>
          <w:szCs w:val="22"/>
        </w:rPr>
        <w:t xml:space="preserve"> received preference priority points for eithe</w:t>
      </w:r>
      <w:r w:rsidR="00E962B8" w:rsidRPr="00E962B8">
        <w:rPr>
          <w:rFonts w:ascii="Arial" w:hAnsi="Arial" w:cs="Arial"/>
          <w:sz w:val="22"/>
          <w:szCs w:val="22"/>
        </w:rPr>
        <w:t>r a 30 or 45 year long-term affordability period, the Declaration must reflect that selected long-term affordability period.</w:t>
      </w:r>
    </w:p>
    <w:p w:rsidR="00E962B8" w:rsidRDefault="00E962B8" w:rsidP="0075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2D05E9" w:rsidRPr="008F1EBA" w:rsidRDefault="002D05E9" w:rsidP="00362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53F52">
        <w:rPr>
          <w:rFonts w:ascii="Arial" w:hAnsi="Arial"/>
          <w:sz w:val="22"/>
        </w:rPr>
        <w:t>B</w:t>
      </w:r>
      <w:r w:rsidR="0004733F" w:rsidRPr="00753F52">
        <w:rPr>
          <w:rFonts w:ascii="Arial" w:hAnsi="Arial"/>
          <w:sz w:val="22"/>
        </w:rPr>
        <w:t xml:space="preserve">eginning with the 2006 </w:t>
      </w:r>
      <w:r w:rsidR="00D2690E">
        <w:rPr>
          <w:rFonts w:ascii="Arial" w:hAnsi="Arial"/>
          <w:sz w:val="22"/>
        </w:rPr>
        <w:t>HTC Program</w:t>
      </w:r>
      <w:r w:rsidR="0004733F" w:rsidRPr="00753F52">
        <w:rPr>
          <w:rFonts w:ascii="Arial" w:hAnsi="Arial"/>
          <w:sz w:val="22"/>
        </w:rPr>
        <w:t>, owners applying for the 9</w:t>
      </w:r>
      <w:r w:rsidR="00CB144A">
        <w:rPr>
          <w:rFonts w:ascii="Arial" w:hAnsi="Arial"/>
          <w:sz w:val="22"/>
        </w:rPr>
        <w:t xml:space="preserve">% </w:t>
      </w:r>
      <w:r w:rsidR="00D2690E">
        <w:rPr>
          <w:rFonts w:ascii="Arial" w:hAnsi="Arial"/>
          <w:sz w:val="22"/>
        </w:rPr>
        <w:t>HTC</w:t>
      </w:r>
      <w:r w:rsidR="00724930">
        <w:rPr>
          <w:rFonts w:ascii="Arial" w:hAnsi="Arial"/>
          <w:sz w:val="22"/>
        </w:rPr>
        <w:t xml:space="preserve"> must commit their project</w:t>
      </w:r>
      <w:r w:rsidR="0004733F" w:rsidRPr="00753F52">
        <w:rPr>
          <w:rFonts w:ascii="Arial" w:hAnsi="Arial"/>
          <w:sz w:val="22"/>
        </w:rPr>
        <w:t>s to Section</w:t>
      </w:r>
      <w:r w:rsidR="003629E9">
        <w:rPr>
          <w:rFonts w:ascii="Arial" w:hAnsi="Arial"/>
          <w:sz w:val="22"/>
        </w:rPr>
        <w:t xml:space="preserve"> </w:t>
      </w:r>
      <w:r w:rsidR="0004733F" w:rsidRPr="00753F52">
        <w:rPr>
          <w:rFonts w:ascii="Arial" w:hAnsi="Arial"/>
          <w:sz w:val="22"/>
        </w:rPr>
        <w:t>42</w:t>
      </w:r>
      <w:r w:rsidR="001D7E91">
        <w:rPr>
          <w:rFonts w:ascii="Arial" w:hAnsi="Arial"/>
          <w:sz w:val="22"/>
        </w:rPr>
        <w:t xml:space="preserve"> of the Code</w:t>
      </w:r>
      <w:r w:rsidR="0004733F" w:rsidRPr="00753F52">
        <w:rPr>
          <w:rFonts w:ascii="Arial" w:hAnsi="Arial"/>
          <w:sz w:val="22"/>
        </w:rPr>
        <w:t xml:space="preserve"> income and rent restrictions for a period of 30 years beginning with the first day of</w:t>
      </w:r>
      <w:r w:rsidR="003629E9">
        <w:rPr>
          <w:rFonts w:ascii="Arial" w:hAnsi="Arial"/>
          <w:sz w:val="22"/>
        </w:rPr>
        <w:t xml:space="preserve"> </w:t>
      </w:r>
      <w:r w:rsidRPr="00753F52">
        <w:rPr>
          <w:rFonts w:ascii="Arial" w:hAnsi="Arial"/>
          <w:sz w:val="22"/>
        </w:rPr>
        <w:t>t</w:t>
      </w:r>
      <w:r w:rsidR="0004733F" w:rsidRPr="00753F52">
        <w:rPr>
          <w:rFonts w:ascii="Arial" w:hAnsi="Arial"/>
          <w:sz w:val="22"/>
        </w:rPr>
        <w:t xml:space="preserve">he </w:t>
      </w:r>
      <w:r w:rsidR="00724930">
        <w:rPr>
          <w:rFonts w:ascii="Arial" w:hAnsi="Arial"/>
          <w:sz w:val="22"/>
        </w:rPr>
        <w:t>15-year compliance period.</w:t>
      </w:r>
    </w:p>
    <w:p w:rsidR="0004733F" w:rsidRPr="006779BE" w:rsidRDefault="0004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F66F9">
        <w:rPr>
          <w:rFonts w:ascii="Arial" w:hAnsi="Arial"/>
          <w:sz w:val="22"/>
        </w:rPr>
        <w:lastRenderedPageBreak/>
        <w:t xml:space="preserve">The Declaration must be recorded as a restrictive covenant and submitted to the Board prior to the Board issuing </w:t>
      </w:r>
      <w:r w:rsidR="00724930">
        <w:rPr>
          <w:rFonts w:ascii="Arial" w:hAnsi="Arial"/>
          <w:sz w:val="22"/>
        </w:rPr>
        <w:t xml:space="preserve">Form 8609(s) </w:t>
      </w:r>
      <w:r w:rsidRPr="007F66F9">
        <w:rPr>
          <w:rFonts w:ascii="Arial" w:hAnsi="Arial"/>
          <w:sz w:val="22"/>
        </w:rPr>
        <w:t xml:space="preserve">and may include additional rent restrictions and occupancy requirements placed upon the building at the time of </w:t>
      </w:r>
      <w:r w:rsidR="00D2690E">
        <w:rPr>
          <w:rFonts w:ascii="Arial" w:hAnsi="Arial"/>
          <w:sz w:val="22"/>
        </w:rPr>
        <w:t xml:space="preserve">HTC </w:t>
      </w:r>
      <w:r w:rsidRPr="007F66F9">
        <w:rPr>
          <w:rFonts w:ascii="Arial" w:hAnsi="Arial"/>
          <w:sz w:val="22"/>
        </w:rPr>
        <w:t>reservation.</w:t>
      </w:r>
      <w:r w:rsidR="007644EE">
        <w:rPr>
          <w:rFonts w:ascii="Arial" w:hAnsi="Arial"/>
          <w:sz w:val="22"/>
        </w:rPr>
        <w:t xml:space="preserve">  </w:t>
      </w:r>
      <w:r w:rsidRPr="007F66F9">
        <w:rPr>
          <w:rFonts w:ascii="Arial" w:hAnsi="Arial"/>
          <w:sz w:val="22"/>
        </w:rPr>
        <w:t>Non</w:t>
      </w:r>
      <w:r w:rsidRPr="007F66F9">
        <w:rPr>
          <w:rFonts w:ascii="Arial" w:hAnsi="Arial"/>
          <w:sz w:val="22"/>
        </w:rPr>
        <w:noBreakHyphen/>
        <w:t xml:space="preserve">compliance with these additional conditions will result in a permanent ban on future allocations of </w:t>
      </w:r>
      <w:r w:rsidR="00D2690E">
        <w:rPr>
          <w:rFonts w:ascii="Arial" w:hAnsi="Arial"/>
          <w:sz w:val="22"/>
        </w:rPr>
        <w:t xml:space="preserve">HTC </w:t>
      </w:r>
      <w:r w:rsidRPr="007F66F9">
        <w:rPr>
          <w:rFonts w:ascii="Arial" w:hAnsi="Arial"/>
          <w:sz w:val="22"/>
        </w:rPr>
        <w:t>for all parties involved.</w:t>
      </w:r>
    </w:p>
    <w:p w:rsidR="005F6082" w:rsidRPr="00E03091" w:rsidRDefault="004941BC" w:rsidP="00AA57F5">
      <w:pPr>
        <w:pStyle w:val="Heading2"/>
        <w:spacing w:after="0"/>
        <w:ind w:left="720"/>
        <w:rPr>
          <w:rFonts w:ascii="Arial" w:hAnsi="Arial"/>
          <w:i w:val="0"/>
          <w:sz w:val="22"/>
        </w:rPr>
      </w:pPr>
      <w:bookmarkStart w:id="34" w:name="_Toc511903013"/>
      <w:r>
        <w:rPr>
          <w:rFonts w:ascii="Arial" w:hAnsi="Arial"/>
          <w:i w:val="0"/>
          <w:sz w:val="22"/>
        </w:rPr>
        <w:t>K</w:t>
      </w:r>
      <w:r w:rsidR="005F6082" w:rsidRPr="00E03091">
        <w:rPr>
          <w:rFonts w:ascii="Arial" w:hAnsi="Arial"/>
          <w:i w:val="0"/>
          <w:sz w:val="22"/>
        </w:rPr>
        <w:t>.</w:t>
      </w:r>
      <w:r w:rsidR="005F6082" w:rsidRPr="00E03091">
        <w:rPr>
          <w:rFonts w:ascii="Arial" w:hAnsi="Arial"/>
          <w:i w:val="0"/>
          <w:sz w:val="22"/>
        </w:rPr>
        <w:tab/>
        <w:t xml:space="preserve">Ineligible </w:t>
      </w:r>
      <w:r w:rsidR="007644EE">
        <w:rPr>
          <w:rFonts w:ascii="Arial" w:hAnsi="Arial"/>
          <w:i w:val="0"/>
          <w:sz w:val="22"/>
        </w:rPr>
        <w:t>Projects</w:t>
      </w:r>
      <w:r w:rsidR="005F6082" w:rsidRPr="00E03091">
        <w:rPr>
          <w:rFonts w:ascii="Arial" w:hAnsi="Arial"/>
          <w:i w:val="0"/>
          <w:sz w:val="22"/>
        </w:rPr>
        <w:fldChar w:fldCharType="begin"/>
      </w:r>
      <w:r w:rsidR="005F6082" w:rsidRPr="00E03091">
        <w:rPr>
          <w:rFonts w:ascii="Arial" w:hAnsi="Arial"/>
          <w:i w:val="0"/>
          <w:sz w:val="22"/>
        </w:rPr>
        <w:instrText>tc \l2 "L.</w:instrText>
      </w:r>
      <w:r w:rsidR="005F6082" w:rsidRPr="00E03091">
        <w:rPr>
          <w:rFonts w:ascii="Arial" w:hAnsi="Arial"/>
          <w:i w:val="0"/>
          <w:sz w:val="22"/>
        </w:rPr>
        <w:tab/>
        <w:instrText>Ineligible Properties</w:instrText>
      </w:r>
      <w:r w:rsidR="005F6082" w:rsidRPr="00E03091">
        <w:rPr>
          <w:rFonts w:ascii="Arial" w:hAnsi="Arial"/>
          <w:i w:val="0"/>
          <w:sz w:val="22"/>
        </w:rPr>
        <w:fldChar w:fldCharType="end"/>
      </w:r>
      <w:bookmarkEnd w:id="34"/>
    </w:p>
    <w:p w:rsidR="00AA57F5" w:rsidRDefault="00AA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Ineligible projects include properties of four </w:t>
      </w:r>
      <w:r w:rsidR="00D2690E">
        <w:rPr>
          <w:rFonts w:ascii="Arial" w:hAnsi="Arial"/>
          <w:sz w:val="22"/>
        </w:rPr>
        <w:t xml:space="preserve">(4) </w:t>
      </w:r>
      <w:r>
        <w:rPr>
          <w:rFonts w:ascii="Arial" w:hAnsi="Arial"/>
          <w:sz w:val="22"/>
        </w:rPr>
        <w:t>units or less which are occupied by the ow</w:t>
      </w:r>
      <w:r w:rsidR="00D2690E">
        <w:rPr>
          <w:rFonts w:ascii="Arial" w:hAnsi="Arial"/>
          <w:sz w:val="22"/>
        </w:rPr>
        <w:t>ner or a relative of the owner (</w:t>
      </w:r>
      <w:r>
        <w:rPr>
          <w:rFonts w:ascii="Arial" w:hAnsi="Arial"/>
          <w:sz w:val="22"/>
        </w:rPr>
        <w:t>unless owned by a 501(c)(3) entity</w:t>
      </w:r>
      <w:r w:rsidR="00D2690E">
        <w:rPr>
          <w:rFonts w:ascii="Arial" w:hAnsi="Arial"/>
          <w:sz w:val="22"/>
        </w:rPr>
        <w:t>);</w:t>
      </w:r>
      <w:r>
        <w:rPr>
          <w:rFonts w:ascii="Arial" w:hAnsi="Arial"/>
          <w:sz w:val="22"/>
        </w:rPr>
        <w:t xml:space="preserve"> life care facilities; and trailer parks.</w:t>
      </w:r>
    </w:p>
    <w:p w:rsidR="00AA57F5" w:rsidRDefault="00AA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Acquisition and/or Substantial Rehabilitation with </w:t>
      </w:r>
      <w:r w:rsidR="00724930">
        <w:rPr>
          <w:rFonts w:ascii="Arial" w:hAnsi="Arial"/>
          <w:sz w:val="22"/>
        </w:rPr>
        <w:t xml:space="preserve">a </w:t>
      </w:r>
      <w:r>
        <w:rPr>
          <w:rFonts w:ascii="Arial" w:hAnsi="Arial"/>
          <w:sz w:val="22"/>
        </w:rPr>
        <w:t xml:space="preserve">preexisting subsidy (any building substantially assisted, financed, or operated under HUD Section 8, Section 221 (d)(3), (d)(4) Section 220, Section 8 existing, Moderate Rehabilitation, or the Section 236 program or under the Farmer's Home Administration Section 515 program) will be eligible to apply for </w:t>
      </w:r>
      <w:r w:rsidR="00373F70">
        <w:rPr>
          <w:rFonts w:ascii="Arial" w:hAnsi="Arial"/>
          <w:sz w:val="22"/>
        </w:rPr>
        <w:t xml:space="preserve">HTC </w:t>
      </w:r>
      <w:r>
        <w:rPr>
          <w:rFonts w:ascii="Arial" w:hAnsi="Arial"/>
          <w:sz w:val="22"/>
        </w:rPr>
        <w:t>only under the following conditions: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rsidP="007644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w:t>
      </w:r>
      <w:r w:rsidR="005F6082">
        <w:rPr>
          <w:rFonts w:ascii="Arial" w:hAnsi="Arial"/>
          <w:sz w:val="22"/>
        </w:rPr>
        <w:tab/>
        <w:t>It preserves assisted low income housing which, due to mortgage prepayments or expiring rental assistance, would convert to market rate use. This must be demonstrated to the satisfaction of the Board; or</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5F6082">
        <w:rPr>
          <w:rFonts w:ascii="Arial" w:hAnsi="Arial"/>
          <w:sz w:val="22"/>
        </w:rPr>
        <w:t>2</w:t>
      </w:r>
      <w:r>
        <w:rPr>
          <w:rFonts w:ascii="Arial" w:hAnsi="Arial"/>
          <w:sz w:val="22"/>
        </w:rPr>
        <w:t>)</w:t>
      </w:r>
      <w:r w:rsidR="005F6082">
        <w:rPr>
          <w:rFonts w:ascii="Arial" w:hAnsi="Arial"/>
          <w:sz w:val="22"/>
        </w:rPr>
        <w:tab/>
        <w:t>It has been demonstrated to the satisfaction of the Minneapolis Council or HRA, as applicable, that the building qualifies as a "troubled property."  In order to qualify as such, a responsible official of a g</w:t>
      </w:r>
      <w:r w:rsidR="001A6D81">
        <w:rPr>
          <w:rFonts w:ascii="Arial" w:hAnsi="Arial"/>
          <w:sz w:val="22"/>
        </w:rPr>
        <w:t>overnmental lender, such as Minnesota Housing</w:t>
      </w:r>
      <w:r w:rsidR="005F6082">
        <w:rPr>
          <w:rFonts w:ascii="Arial" w:hAnsi="Arial"/>
          <w:sz w:val="22"/>
        </w:rPr>
        <w:t>, HUD, or FMHA, must provide written documentation that the property is troubled along with an expla</w:t>
      </w:r>
      <w:r w:rsidR="00032A64">
        <w:rPr>
          <w:rFonts w:ascii="Arial" w:hAnsi="Arial"/>
          <w:sz w:val="22"/>
        </w:rPr>
        <w:t>nation.  Generally, the project</w:t>
      </w:r>
      <w:r w:rsidR="005F6082">
        <w:rPr>
          <w:rFonts w:ascii="Arial" w:hAnsi="Arial"/>
          <w:sz w:val="22"/>
        </w:rPr>
        <w:t xml:space="preserve"> must be in default or foreclosure.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602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Any A</w:t>
      </w:r>
      <w:r w:rsidR="005F6082">
        <w:rPr>
          <w:rFonts w:ascii="Arial" w:hAnsi="Arial"/>
          <w:sz w:val="22"/>
        </w:rPr>
        <w:t xml:space="preserve">pplication involving acquisition and </w:t>
      </w:r>
      <w:r w:rsidR="008D1374">
        <w:rPr>
          <w:rFonts w:ascii="Arial" w:hAnsi="Arial"/>
          <w:sz w:val="22"/>
        </w:rPr>
        <w:t>Substantial R</w:t>
      </w:r>
      <w:r w:rsidR="005F6082">
        <w:rPr>
          <w:rFonts w:ascii="Arial" w:hAnsi="Arial"/>
          <w:sz w:val="22"/>
        </w:rPr>
        <w:t xml:space="preserve">ehabilitation of a </w:t>
      </w:r>
      <w:r w:rsidR="007B36C1">
        <w:rPr>
          <w:rFonts w:ascii="Arial" w:hAnsi="Arial"/>
          <w:sz w:val="22"/>
        </w:rPr>
        <w:t xml:space="preserve">Minnesota Housing </w:t>
      </w:r>
      <w:r w:rsidR="005F6082">
        <w:rPr>
          <w:rFonts w:ascii="Arial" w:hAnsi="Arial"/>
          <w:sz w:val="22"/>
        </w:rPr>
        <w:t xml:space="preserve">financed project MUST submit a certification as to need for </w:t>
      </w:r>
      <w:r w:rsidR="00373F70">
        <w:rPr>
          <w:rFonts w:ascii="Arial" w:hAnsi="Arial"/>
          <w:sz w:val="22"/>
        </w:rPr>
        <w:t xml:space="preserve">a </w:t>
      </w:r>
      <w:r w:rsidR="005F6082">
        <w:rPr>
          <w:rFonts w:ascii="Arial" w:hAnsi="Arial"/>
          <w:sz w:val="22"/>
        </w:rPr>
        <w:t xml:space="preserve">substantial rehabilitation of the project.  The certification shall include a rehabilitation inspection report.  This inspection shall be </w:t>
      </w:r>
      <w:r w:rsidR="008D1374">
        <w:rPr>
          <w:rFonts w:ascii="Arial" w:hAnsi="Arial"/>
          <w:sz w:val="22"/>
        </w:rPr>
        <w:t>prepared</w:t>
      </w:r>
      <w:r w:rsidR="005F6082">
        <w:rPr>
          <w:rFonts w:ascii="Arial" w:hAnsi="Arial"/>
          <w:sz w:val="22"/>
        </w:rPr>
        <w:t xml:space="preserve"> by a representative of the appropriate agency or a person approved by that agency.  The inspection report will not be accepted if completed m</w:t>
      </w:r>
      <w:r>
        <w:rPr>
          <w:rFonts w:ascii="Arial" w:hAnsi="Arial"/>
          <w:sz w:val="22"/>
        </w:rPr>
        <w:t>ore than 6 months prior to the A</w:t>
      </w:r>
      <w:r w:rsidR="005F6082">
        <w:rPr>
          <w:rFonts w:ascii="Arial" w:hAnsi="Arial"/>
          <w:sz w:val="22"/>
        </w:rPr>
        <w:t>pplication submission.</w:t>
      </w:r>
    </w:p>
    <w:p w:rsidR="005F6082" w:rsidRPr="00E03091" w:rsidRDefault="004941BC" w:rsidP="00AA57F5">
      <w:pPr>
        <w:pStyle w:val="Heading2"/>
        <w:spacing w:after="0"/>
        <w:ind w:left="720"/>
        <w:rPr>
          <w:rFonts w:ascii="Arial" w:hAnsi="Arial"/>
          <w:i w:val="0"/>
          <w:sz w:val="22"/>
        </w:rPr>
      </w:pPr>
      <w:bookmarkStart w:id="35" w:name="_Toc511903014"/>
      <w:r>
        <w:rPr>
          <w:rFonts w:ascii="Arial" w:hAnsi="Arial"/>
          <w:i w:val="0"/>
          <w:sz w:val="22"/>
        </w:rPr>
        <w:t>L</w:t>
      </w:r>
      <w:r w:rsidR="005F6082" w:rsidRPr="00E03091">
        <w:rPr>
          <w:rFonts w:ascii="Arial" w:hAnsi="Arial"/>
          <w:i w:val="0"/>
          <w:sz w:val="22"/>
        </w:rPr>
        <w:t>.</w:t>
      </w:r>
      <w:r w:rsidR="005F6082" w:rsidRPr="00E03091">
        <w:rPr>
          <w:rFonts w:ascii="Arial" w:hAnsi="Arial"/>
          <w:i w:val="0"/>
          <w:sz w:val="22"/>
        </w:rPr>
        <w:tab/>
        <w:t xml:space="preserve">Limits On </w:t>
      </w:r>
      <w:r w:rsidR="00BD7596">
        <w:rPr>
          <w:rFonts w:ascii="Arial" w:hAnsi="Arial"/>
          <w:i w:val="0"/>
          <w:sz w:val="22"/>
        </w:rPr>
        <w:t>HTC</w:t>
      </w:r>
      <w:r w:rsidR="005F6082" w:rsidRPr="00E03091">
        <w:rPr>
          <w:rFonts w:ascii="Arial" w:hAnsi="Arial"/>
          <w:i w:val="0"/>
          <w:sz w:val="22"/>
        </w:rPr>
        <w:fldChar w:fldCharType="begin"/>
      </w:r>
      <w:r w:rsidR="005F6082" w:rsidRPr="00E03091">
        <w:rPr>
          <w:rFonts w:ascii="Arial" w:hAnsi="Arial"/>
          <w:i w:val="0"/>
          <w:sz w:val="22"/>
        </w:rPr>
        <w:instrText>tc \l2 "M.</w:instrText>
      </w:r>
      <w:r w:rsidR="005F6082" w:rsidRPr="00E03091">
        <w:rPr>
          <w:rFonts w:ascii="Arial" w:hAnsi="Arial"/>
          <w:i w:val="0"/>
          <w:sz w:val="22"/>
        </w:rPr>
        <w:tab/>
        <w:instrText>Limits On Credits</w:instrText>
      </w:r>
      <w:r w:rsidR="005F6082" w:rsidRPr="00E03091">
        <w:rPr>
          <w:rFonts w:ascii="Arial" w:hAnsi="Arial"/>
          <w:i w:val="0"/>
          <w:sz w:val="22"/>
        </w:rPr>
        <w:fldChar w:fldCharType="end"/>
      </w:r>
      <w:r w:rsidR="005F6082" w:rsidRPr="00E03091">
        <w:rPr>
          <w:rFonts w:ascii="Arial" w:hAnsi="Arial"/>
          <w:i w:val="0"/>
          <w:sz w:val="22"/>
        </w:rPr>
        <w:t>:</w:t>
      </w:r>
      <w:bookmarkEnd w:id="35"/>
    </w:p>
    <w:p w:rsidR="00AA57F5" w:rsidRDefault="00AA57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There is a limit on the amount of </w:t>
      </w:r>
      <w:r w:rsidR="00373F70">
        <w:rPr>
          <w:rFonts w:ascii="Arial" w:hAnsi="Arial"/>
          <w:sz w:val="22"/>
        </w:rPr>
        <w:t>HTC</w:t>
      </w:r>
      <w:r>
        <w:rPr>
          <w:rFonts w:ascii="Arial" w:hAnsi="Arial"/>
          <w:sz w:val="22"/>
        </w:rPr>
        <w:t xml:space="preserve"> an individual may effectively use due to passive loss restrictions and alternative minimum tax provisions.  Consult your tax attorney or accountant for clarification of this regulation.</w:t>
      </w:r>
    </w:p>
    <w:p w:rsidR="005F6082" w:rsidRPr="00E03091" w:rsidRDefault="004941BC" w:rsidP="003A14BA">
      <w:pPr>
        <w:pStyle w:val="Heading2"/>
        <w:ind w:left="720"/>
        <w:rPr>
          <w:rFonts w:ascii="Arial" w:hAnsi="Arial"/>
          <w:i w:val="0"/>
          <w:sz w:val="22"/>
        </w:rPr>
      </w:pPr>
      <w:bookmarkStart w:id="36" w:name="_Toc511903015"/>
      <w:r>
        <w:rPr>
          <w:rFonts w:ascii="Arial" w:hAnsi="Arial"/>
          <w:i w:val="0"/>
          <w:sz w:val="22"/>
        </w:rPr>
        <w:t>M</w:t>
      </w:r>
      <w:r w:rsidR="005F6082" w:rsidRPr="00E03091">
        <w:rPr>
          <w:rFonts w:ascii="Arial" w:hAnsi="Arial"/>
          <w:i w:val="0"/>
          <w:sz w:val="22"/>
        </w:rPr>
        <w:t>.</w:t>
      </w:r>
      <w:r w:rsidR="005F6082" w:rsidRPr="00E03091">
        <w:rPr>
          <w:rFonts w:ascii="Arial" w:hAnsi="Arial"/>
          <w:i w:val="0"/>
          <w:sz w:val="22"/>
        </w:rPr>
        <w:tab/>
        <w:t>Volume Limits</w:t>
      </w:r>
      <w:r w:rsidR="005F6082" w:rsidRPr="00E03091">
        <w:rPr>
          <w:rFonts w:ascii="Arial" w:hAnsi="Arial"/>
          <w:i w:val="0"/>
          <w:sz w:val="22"/>
        </w:rPr>
        <w:fldChar w:fldCharType="begin"/>
      </w:r>
      <w:r w:rsidR="005F6082" w:rsidRPr="00E03091">
        <w:rPr>
          <w:rFonts w:ascii="Arial" w:hAnsi="Arial"/>
          <w:i w:val="0"/>
          <w:sz w:val="22"/>
        </w:rPr>
        <w:instrText>tc \l2 "N.</w:instrText>
      </w:r>
      <w:r w:rsidR="005F6082" w:rsidRPr="00E03091">
        <w:rPr>
          <w:rFonts w:ascii="Arial" w:hAnsi="Arial"/>
          <w:i w:val="0"/>
          <w:sz w:val="22"/>
        </w:rPr>
        <w:tab/>
        <w:instrText>Volume Limits</w:instrText>
      </w:r>
      <w:r w:rsidR="005F6082" w:rsidRPr="00E03091">
        <w:rPr>
          <w:rFonts w:ascii="Arial" w:hAnsi="Arial"/>
          <w:i w:val="0"/>
          <w:sz w:val="22"/>
        </w:rPr>
        <w:fldChar w:fldCharType="end"/>
      </w:r>
      <w:r w:rsidR="005F6082" w:rsidRPr="00E03091">
        <w:rPr>
          <w:rFonts w:ascii="Arial" w:hAnsi="Arial"/>
          <w:i w:val="0"/>
          <w:sz w:val="22"/>
        </w:rPr>
        <w:t>:</w:t>
      </w:r>
      <w:bookmarkEnd w:id="36"/>
    </w:p>
    <w:p w:rsidR="00AA57F5" w:rsidRDefault="00AA57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Each state is limited to the amount of </w:t>
      </w:r>
      <w:r w:rsidR="00BD7596">
        <w:rPr>
          <w:rFonts w:ascii="Arial" w:hAnsi="Arial" w:cs="Arial"/>
          <w:sz w:val="22"/>
          <w:szCs w:val="22"/>
        </w:rPr>
        <w:t>HTC</w:t>
      </w:r>
      <w:r w:rsidR="00600022">
        <w:rPr>
          <w:rFonts w:ascii="Arial" w:hAnsi="Arial" w:cs="Arial"/>
          <w:sz w:val="22"/>
          <w:szCs w:val="22"/>
        </w:rPr>
        <w:t xml:space="preserve"> </w:t>
      </w:r>
      <w:r>
        <w:rPr>
          <w:rFonts w:ascii="Arial" w:hAnsi="Arial"/>
          <w:sz w:val="22"/>
        </w:rPr>
        <w:t xml:space="preserve">it may allocate annually.  The </w:t>
      </w:r>
      <w:r w:rsidR="007A2EF7">
        <w:rPr>
          <w:rFonts w:ascii="Arial" w:hAnsi="Arial"/>
          <w:sz w:val="22"/>
        </w:rPr>
        <w:t>201</w:t>
      </w:r>
      <w:r w:rsidR="003424C2">
        <w:rPr>
          <w:rFonts w:ascii="Arial" w:hAnsi="Arial"/>
          <w:sz w:val="22"/>
        </w:rPr>
        <w:t xml:space="preserve">9 </w:t>
      </w:r>
      <w:r>
        <w:rPr>
          <w:rFonts w:ascii="Arial" w:hAnsi="Arial"/>
          <w:sz w:val="22"/>
        </w:rPr>
        <w:t>volume limits for the Cities to be allocated by the Board are as follows: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bookmarkStart w:id="37" w:name="_GoBack"/>
    </w:p>
    <w:bookmarkEnd w:id="37"/>
    <w:p w:rsidR="003424C2" w:rsidRPr="007B36C1" w:rsidRDefault="005F6082" w:rsidP="00225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Arial" w:hAnsi="Arial"/>
          <w:sz w:val="22"/>
        </w:rPr>
      </w:pPr>
      <w:r w:rsidRPr="007B36C1">
        <w:rPr>
          <w:rFonts w:ascii="Arial" w:hAnsi="Arial"/>
          <w:sz w:val="22"/>
        </w:rPr>
        <w:t>Minneapolis</w:t>
      </w:r>
      <w:r w:rsidR="00137B46" w:rsidRPr="007B36C1">
        <w:rPr>
          <w:rFonts w:ascii="Arial" w:hAnsi="Arial"/>
          <w:sz w:val="22"/>
        </w:rPr>
        <w:t xml:space="preserve"> - </w:t>
      </w:r>
      <w:r w:rsidR="00E6572B" w:rsidRPr="007B36C1">
        <w:rPr>
          <w:rFonts w:ascii="Arial" w:hAnsi="Arial"/>
          <w:sz w:val="22"/>
        </w:rPr>
        <w:t>$</w:t>
      </w:r>
      <w:r w:rsidR="00EE2A3B">
        <w:rPr>
          <w:rFonts w:ascii="Arial" w:hAnsi="Arial"/>
          <w:sz w:val="22"/>
        </w:rPr>
        <w:t>1,570,578</w:t>
      </w:r>
    </w:p>
    <w:p w:rsidR="005F6082" w:rsidRPr="007B36C1" w:rsidRDefault="005F6082" w:rsidP="00225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Arial" w:hAnsi="Arial"/>
          <w:sz w:val="22"/>
        </w:rPr>
      </w:pPr>
      <w:r w:rsidRPr="007B36C1">
        <w:rPr>
          <w:rFonts w:ascii="Arial" w:hAnsi="Arial"/>
          <w:sz w:val="22"/>
        </w:rPr>
        <w:t xml:space="preserve">Saint </w:t>
      </w:r>
      <w:r w:rsidR="00D838C5" w:rsidRPr="007B36C1">
        <w:rPr>
          <w:rFonts w:ascii="Arial" w:hAnsi="Arial"/>
          <w:sz w:val="22"/>
        </w:rPr>
        <w:t>Paul -</w:t>
      </w:r>
      <w:r w:rsidRPr="007B36C1">
        <w:rPr>
          <w:rFonts w:ascii="Arial" w:hAnsi="Arial"/>
          <w:sz w:val="22"/>
        </w:rPr>
        <w:t xml:space="preserve">   </w:t>
      </w:r>
      <w:r w:rsidR="00922918" w:rsidRPr="007B36C1">
        <w:rPr>
          <w:rFonts w:ascii="Arial" w:hAnsi="Arial"/>
          <w:sz w:val="22"/>
        </w:rPr>
        <w:t xml:space="preserve"> </w:t>
      </w:r>
      <w:r w:rsidR="00EE2A3B">
        <w:rPr>
          <w:rFonts w:ascii="Arial" w:hAnsi="Arial"/>
          <w:sz w:val="22"/>
        </w:rPr>
        <w:t>$</w:t>
      </w:r>
      <w:r w:rsidR="006275F6">
        <w:rPr>
          <w:rFonts w:ascii="Arial" w:hAnsi="Arial"/>
          <w:sz w:val="22"/>
        </w:rPr>
        <w:t>788</w:t>
      </w:r>
      <w:r w:rsidR="00EE2A3B">
        <w:rPr>
          <w:rFonts w:ascii="Arial" w:hAnsi="Arial"/>
          <w:sz w:val="22"/>
        </w:rPr>
        <w:t>,</w:t>
      </w:r>
      <w:r w:rsidR="006275F6">
        <w:rPr>
          <w:rFonts w:ascii="Arial" w:hAnsi="Arial"/>
          <w:sz w:val="22"/>
        </w:rPr>
        <w:t>204</w:t>
      </w:r>
    </w:p>
    <w:p w:rsidR="00225C1E" w:rsidRDefault="00225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Projects with tax</w:t>
      </w:r>
      <w:r>
        <w:rPr>
          <w:rFonts w:ascii="Arial" w:hAnsi="Arial"/>
          <w:sz w:val="22"/>
        </w:rPr>
        <w:noBreakHyphen/>
        <w:t xml:space="preserve">exempt bond financing, which are subject to a separate volume limitation, are not counted against the state </w:t>
      </w:r>
      <w:r w:rsidR="007B36C1">
        <w:rPr>
          <w:rFonts w:ascii="Arial" w:hAnsi="Arial"/>
          <w:sz w:val="22"/>
        </w:rPr>
        <w:t xml:space="preserve">9% </w:t>
      </w:r>
      <w:r w:rsidR="00032A64">
        <w:rPr>
          <w:rFonts w:ascii="Arial" w:hAnsi="Arial"/>
          <w:sz w:val="22"/>
        </w:rPr>
        <w:t>HTC amount</w:t>
      </w:r>
      <w:r>
        <w:rPr>
          <w:rFonts w:ascii="Arial" w:hAnsi="Arial"/>
          <w:sz w:val="22"/>
        </w:rPr>
        <w:t xml:space="preserve">.  See the </w:t>
      </w:r>
      <w:r w:rsidR="007B36C1">
        <w:rPr>
          <w:rFonts w:ascii="Arial" w:hAnsi="Arial"/>
          <w:sz w:val="22"/>
        </w:rPr>
        <w:t xml:space="preserve">QAP </w:t>
      </w:r>
      <w:r>
        <w:rPr>
          <w:rFonts w:ascii="Arial" w:hAnsi="Arial"/>
          <w:sz w:val="22"/>
        </w:rPr>
        <w:t>for further details.</w:t>
      </w:r>
    </w:p>
    <w:p w:rsidR="008D1374" w:rsidRDefault="008D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4941BC" w:rsidP="008D1374">
      <w:pPr>
        <w:pStyle w:val="Heading2"/>
        <w:spacing w:before="0" w:after="0"/>
        <w:ind w:left="720"/>
        <w:rPr>
          <w:rFonts w:ascii="Arial" w:hAnsi="Arial"/>
          <w:i w:val="0"/>
          <w:sz w:val="22"/>
        </w:rPr>
      </w:pPr>
      <w:bookmarkStart w:id="38" w:name="_Toc511903016"/>
      <w:r>
        <w:rPr>
          <w:rFonts w:ascii="Arial" w:hAnsi="Arial"/>
          <w:i w:val="0"/>
          <w:sz w:val="22"/>
        </w:rPr>
        <w:t>N</w:t>
      </w:r>
      <w:r w:rsidR="005F6082" w:rsidRPr="00E03091">
        <w:rPr>
          <w:rFonts w:ascii="Arial" w:hAnsi="Arial"/>
          <w:i w:val="0"/>
          <w:sz w:val="22"/>
        </w:rPr>
        <w:t>.</w:t>
      </w:r>
      <w:r w:rsidR="005F6082" w:rsidRPr="00E03091">
        <w:rPr>
          <w:rFonts w:ascii="Arial" w:hAnsi="Arial"/>
          <w:i w:val="0"/>
          <w:sz w:val="22"/>
        </w:rPr>
        <w:tab/>
        <w:t>Market Review</w:t>
      </w:r>
      <w:bookmarkEnd w:id="38"/>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applicant must submit a comprehensive market review of the housing needs of low-income individuals in the area served by the project.  The review must be conducted before the </w:t>
      </w:r>
      <w:r w:rsidR="003424C2">
        <w:rPr>
          <w:rFonts w:ascii="Arial" w:hAnsi="Arial"/>
          <w:sz w:val="22"/>
        </w:rPr>
        <w:t xml:space="preserve">HTC </w:t>
      </w:r>
      <w:r>
        <w:rPr>
          <w:rFonts w:ascii="Arial" w:hAnsi="Arial"/>
          <w:sz w:val="22"/>
        </w:rPr>
        <w:t>allocation is made and at the developer’s expense</w:t>
      </w:r>
      <w:r w:rsidR="007B36C1">
        <w:rPr>
          <w:rFonts w:ascii="Arial" w:hAnsi="Arial"/>
          <w:sz w:val="22"/>
        </w:rPr>
        <w:t xml:space="preserve"> by an unr</w:t>
      </w:r>
      <w:r w:rsidR="008D1374">
        <w:rPr>
          <w:rFonts w:ascii="Arial" w:hAnsi="Arial"/>
          <w:sz w:val="22"/>
        </w:rPr>
        <w:t>e</w:t>
      </w:r>
      <w:r w:rsidR="007B36C1">
        <w:rPr>
          <w:rFonts w:ascii="Arial" w:hAnsi="Arial"/>
          <w:sz w:val="22"/>
        </w:rPr>
        <w:t>lated third party acceptable to HRA or CPED.</w:t>
      </w:r>
    </w:p>
    <w:p w:rsidR="008D1374" w:rsidRDefault="008D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Pr="00E03091" w:rsidRDefault="004941BC" w:rsidP="008D1374">
      <w:pPr>
        <w:pStyle w:val="Heading2"/>
        <w:spacing w:before="0" w:after="0"/>
        <w:ind w:left="720"/>
        <w:rPr>
          <w:rFonts w:ascii="Arial" w:hAnsi="Arial"/>
          <w:i w:val="0"/>
          <w:sz w:val="22"/>
        </w:rPr>
      </w:pPr>
      <w:bookmarkStart w:id="39" w:name="_Toc511903017"/>
      <w:r>
        <w:rPr>
          <w:rFonts w:ascii="Arial" w:hAnsi="Arial"/>
          <w:i w:val="0"/>
          <w:sz w:val="22"/>
        </w:rPr>
        <w:t>O</w:t>
      </w:r>
      <w:r w:rsidR="005F6082" w:rsidRPr="00E03091">
        <w:rPr>
          <w:rFonts w:ascii="Arial" w:hAnsi="Arial"/>
          <w:i w:val="0"/>
          <w:sz w:val="22"/>
        </w:rPr>
        <w:t>.</w:t>
      </w:r>
      <w:r w:rsidR="005F6082" w:rsidRPr="00E03091">
        <w:rPr>
          <w:rFonts w:ascii="Arial" w:hAnsi="Arial"/>
          <w:i w:val="0"/>
          <w:sz w:val="22"/>
        </w:rPr>
        <w:tab/>
        <w:t>Tenant Ownership</w:t>
      </w:r>
      <w:bookmarkEnd w:id="39"/>
    </w:p>
    <w:p w:rsidR="008D1374" w:rsidRDefault="008D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Board will review projects incorporating tenant ownership provisions in accordance with </w:t>
      </w:r>
      <w:r w:rsidRPr="00032A64">
        <w:rPr>
          <w:rFonts w:ascii="Arial" w:hAnsi="Arial"/>
          <w:sz w:val="22"/>
        </w:rPr>
        <w:t xml:space="preserve">Section 42 </w:t>
      </w:r>
      <w:r w:rsidR="001D7E91">
        <w:rPr>
          <w:rFonts w:ascii="Arial" w:hAnsi="Arial"/>
          <w:sz w:val="22"/>
        </w:rPr>
        <w:t xml:space="preserve">of the Code </w:t>
      </w:r>
      <w:r w:rsidRPr="00032A64">
        <w:rPr>
          <w:rFonts w:ascii="Arial" w:hAnsi="Arial"/>
          <w:sz w:val="22"/>
        </w:rPr>
        <w:t xml:space="preserve">and IRS Revenue Ruling 95-49. </w:t>
      </w:r>
      <w:r>
        <w:rPr>
          <w:rFonts w:ascii="Arial" w:hAnsi="Arial"/>
          <w:sz w:val="22"/>
        </w:rPr>
        <w:t xml:space="preserve"> It is the responsibility of the applicant to provide the Board with any additional information or clarification as may be necessary.</w:t>
      </w:r>
    </w:p>
    <w:p w:rsidR="008D1374" w:rsidRDefault="008D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Pr="00E03091" w:rsidRDefault="004941BC" w:rsidP="0039687B">
      <w:pPr>
        <w:pStyle w:val="Heading2"/>
        <w:keepNext w:val="0"/>
        <w:widowControl/>
        <w:spacing w:before="0" w:after="0"/>
        <w:ind w:left="720"/>
        <w:rPr>
          <w:rFonts w:ascii="Arial" w:hAnsi="Arial"/>
          <w:i w:val="0"/>
          <w:sz w:val="22"/>
        </w:rPr>
      </w:pPr>
      <w:bookmarkStart w:id="40" w:name="_Toc511903018"/>
      <w:r>
        <w:rPr>
          <w:rFonts w:ascii="Arial" w:hAnsi="Arial"/>
          <w:i w:val="0"/>
          <w:sz w:val="22"/>
        </w:rPr>
        <w:t>P</w:t>
      </w:r>
      <w:r w:rsidR="005F6082" w:rsidRPr="00E03091">
        <w:rPr>
          <w:rFonts w:ascii="Arial" w:hAnsi="Arial"/>
          <w:i w:val="0"/>
          <w:sz w:val="22"/>
        </w:rPr>
        <w:t>.</w:t>
      </w:r>
      <w:r w:rsidR="005F6082" w:rsidRPr="00E03091">
        <w:rPr>
          <w:rFonts w:ascii="Arial" w:hAnsi="Arial"/>
          <w:i w:val="0"/>
          <w:sz w:val="22"/>
        </w:rPr>
        <w:tab/>
        <w:t>Revocation</w:t>
      </w:r>
      <w:r w:rsidR="003424C2">
        <w:rPr>
          <w:rFonts w:ascii="Arial" w:hAnsi="Arial"/>
          <w:i w:val="0"/>
          <w:sz w:val="22"/>
        </w:rPr>
        <w:t xml:space="preserve"> of </w:t>
      </w:r>
      <w:r w:rsidR="003424C2" w:rsidRPr="003424C2">
        <w:rPr>
          <w:rFonts w:ascii="Arial" w:hAnsi="Arial"/>
          <w:i w:val="0"/>
          <w:sz w:val="22"/>
        </w:rPr>
        <w:t>HTC</w:t>
      </w:r>
      <w:r w:rsidR="005F6082" w:rsidRPr="00E03091">
        <w:rPr>
          <w:rFonts w:ascii="Arial" w:hAnsi="Arial"/>
          <w:i w:val="0"/>
          <w:sz w:val="22"/>
        </w:rPr>
        <w:fldChar w:fldCharType="begin"/>
      </w:r>
      <w:r w:rsidR="005F6082" w:rsidRPr="00E03091">
        <w:rPr>
          <w:rFonts w:ascii="Arial" w:hAnsi="Arial"/>
          <w:i w:val="0"/>
          <w:sz w:val="22"/>
        </w:rPr>
        <w:instrText>tc \l2 "Q.</w:instrText>
      </w:r>
      <w:r w:rsidR="005F6082" w:rsidRPr="00E03091">
        <w:rPr>
          <w:rFonts w:ascii="Arial" w:hAnsi="Arial"/>
          <w:i w:val="0"/>
          <w:sz w:val="22"/>
        </w:rPr>
        <w:tab/>
        <w:instrText>Revocation</w:instrText>
      </w:r>
      <w:r w:rsidR="005F6082" w:rsidRPr="00E03091">
        <w:rPr>
          <w:rFonts w:ascii="Arial" w:hAnsi="Arial"/>
          <w:i w:val="0"/>
          <w:sz w:val="22"/>
        </w:rPr>
        <w:fldChar w:fldCharType="end"/>
      </w:r>
      <w:bookmarkEnd w:id="40"/>
    </w:p>
    <w:p w:rsidR="005F6082" w:rsidRDefault="005F6082"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Pr="003424C2" w:rsidRDefault="005F6082"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3424C2">
        <w:rPr>
          <w:rFonts w:ascii="Arial" w:hAnsi="Arial"/>
          <w:sz w:val="22"/>
        </w:rPr>
        <w:t xml:space="preserve">The Board reserves the right to revoke </w:t>
      </w:r>
      <w:r w:rsidR="00BD7596">
        <w:rPr>
          <w:rFonts w:ascii="Arial" w:hAnsi="Arial" w:cs="Arial"/>
          <w:sz w:val="22"/>
          <w:szCs w:val="22"/>
        </w:rPr>
        <w:t>HTC</w:t>
      </w:r>
      <w:r w:rsidR="00600022" w:rsidRPr="003424C2">
        <w:rPr>
          <w:rFonts w:ascii="Arial" w:hAnsi="Arial" w:cs="Arial"/>
          <w:sz w:val="22"/>
          <w:szCs w:val="22"/>
        </w:rPr>
        <w:t xml:space="preserve"> </w:t>
      </w:r>
      <w:r w:rsidRPr="003424C2">
        <w:rPr>
          <w:rFonts w:ascii="Arial" w:hAnsi="Arial"/>
          <w:sz w:val="22"/>
        </w:rPr>
        <w:t xml:space="preserve">from </w:t>
      </w:r>
      <w:r w:rsidR="00600022" w:rsidRPr="003424C2">
        <w:rPr>
          <w:rFonts w:ascii="Arial" w:hAnsi="Arial"/>
          <w:sz w:val="22"/>
        </w:rPr>
        <w:t>project</w:t>
      </w:r>
      <w:r w:rsidRPr="003424C2">
        <w:rPr>
          <w:rFonts w:ascii="Arial" w:hAnsi="Arial"/>
          <w:sz w:val="22"/>
        </w:rPr>
        <w:t xml:space="preserve">s that do not provide evidence satisfactory to the Board of progress toward completion of the project in accordance with their construction schedule provided at </w:t>
      </w:r>
      <w:r w:rsidR="003424C2">
        <w:rPr>
          <w:rFonts w:ascii="Arial" w:hAnsi="Arial"/>
          <w:sz w:val="22"/>
        </w:rPr>
        <w:t>Carryover Allocation</w:t>
      </w:r>
      <w:r w:rsidRPr="003424C2">
        <w:rPr>
          <w:rFonts w:ascii="Arial" w:hAnsi="Arial"/>
          <w:sz w:val="22"/>
        </w:rPr>
        <w:t xml:space="preserve"> or noncompliance with the terms of the</w:t>
      </w:r>
      <w:r w:rsidR="00600022" w:rsidRPr="003424C2">
        <w:rPr>
          <w:rFonts w:ascii="Arial" w:hAnsi="Arial"/>
          <w:sz w:val="22"/>
        </w:rPr>
        <w:t xml:space="preserve"> </w:t>
      </w:r>
      <w:r w:rsidR="00032A64">
        <w:rPr>
          <w:rFonts w:ascii="Arial" w:hAnsi="Arial"/>
          <w:sz w:val="22"/>
        </w:rPr>
        <w:t>Carryover Allocation</w:t>
      </w:r>
      <w:r w:rsidRPr="003424C2">
        <w:rPr>
          <w:rFonts w:ascii="Arial" w:hAnsi="Arial"/>
          <w:sz w:val="22"/>
        </w:rPr>
        <w:t>.</w:t>
      </w:r>
    </w:p>
    <w:p w:rsidR="005F6082" w:rsidRPr="003424C2" w:rsidRDefault="005F6082"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Pr="003424C2" w:rsidRDefault="00032A64"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 portion</w:t>
      </w:r>
      <w:r w:rsidR="005F6082" w:rsidRPr="003424C2">
        <w:rPr>
          <w:rFonts w:ascii="Arial" w:hAnsi="Arial"/>
          <w:sz w:val="22"/>
        </w:rPr>
        <w:t xml:space="preserve"> of the </w:t>
      </w:r>
      <w:r w:rsidR="00BD7596">
        <w:rPr>
          <w:rFonts w:ascii="Arial" w:hAnsi="Arial" w:cs="Arial"/>
          <w:sz w:val="22"/>
          <w:szCs w:val="22"/>
        </w:rPr>
        <w:t>HTC</w:t>
      </w:r>
      <w:r w:rsidR="005F6082" w:rsidRPr="003424C2">
        <w:rPr>
          <w:rFonts w:ascii="Arial" w:hAnsi="Arial"/>
          <w:sz w:val="22"/>
        </w:rPr>
        <w:t xml:space="preserve"> will also be revoked if the </w:t>
      </w:r>
      <w:r w:rsidR="00561A52">
        <w:rPr>
          <w:rFonts w:ascii="Arial" w:hAnsi="Arial"/>
          <w:sz w:val="22"/>
        </w:rPr>
        <w:t>Q</w:t>
      </w:r>
      <w:r w:rsidR="005F6082" w:rsidRPr="003424C2">
        <w:rPr>
          <w:rFonts w:ascii="Arial" w:hAnsi="Arial"/>
          <w:sz w:val="22"/>
        </w:rPr>
        <w:t xml:space="preserve">ualified </w:t>
      </w:r>
      <w:r w:rsidR="00561A52">
        <w:rPr>
          <w:rFonts w:ascii="Arial" w:hAnsi="Arial"/>
          <w:sz w:val="22"/>
        </w:rPr>
        <w:t>B</w:t>
      </w:r>
      <w:r w:rsidR="005F6082" w:rsidRPr="003424C2">
        <w:rPr>
          <w:rFonts w:ascii="Arial" w:hAnsi="Arial"/>
          <w:sz w:val="22"/>
        </w:rPr>
        <w:t xml:space="preserve">asis </w:t>
      </w:r>
      <w:r w:rsidR="003424C2">
        <w:rPr>
          <w:rFonts w:ascii="Arial" w:hAnsi="Arial"/>
          <w:sz w:val="22"/>
        </w:rPr>
        <w:t xml:space="preserve">of the project </w:t>
      </w:r>
      <w:r w:rsidR="005F6082" w:rsidRPr="003424C2">
        <w:rPr>
          <w:rFonts w:ascii="Arial" w:hAnsi="Arial"/>
          <w:sz w:val="22"/>
        </w:rPr>
        <w:t xml:space="preserve">at the close of any year is less than the amount of such basis at the close of the preceding taxable year, or if the minimum number of qualified </w:t>
      </w:r>
      <w:r w:rsidR="00561A52">
        <w:rPr>
          <w:rFonts w:ascii="Arial" w:hAnsi="Arial"/>
          <w:sz w:val="22"/>
        </w:rPr>
        <w:t xml:space="preserve">HTC </w:t>
      </w:r>
      <w:r w:rsidR="005F6082" w:rsidRPr="003424C2">
        <w:rPr>
          <w:rFonts w:ascii="Arial" w:hAnsi="Arial"/>
          <w:sz w:val="22"/>
        </w:rPr>
        <w:t xml:space="preserve">units is </w:t>
      </w:r>
      <w:r w:rsidR="003424C2">
        <w:rPr>
          <w:rFonts w:ascii="Arial" w:hAnsi="Arial"/>
          <w:sz w:val="22"/>
        </w:rPr>
        <w:t>not mai</w:t>
      </w:r>
      <w:r w:rsidR="00492323">
        <w:rPr>
          <w:rFonts w:ascii="Arial" w:hAnsi="Arial"/>
          <w:sz w:val="22"/>
        </w:rPr>
        <w:t>ntained for the 15-year compliance period</w:t>
      </w:r>
      <w:r w:rsidR="005F6082" w:rsidRPr="003424C2">
        <w:rPr>
          <w:rFonts w:ascii="Arial" w:hAnsi="Arial"/>
          <w:sz w:val="22"/>
        </w:rPr>
        <w:t>.</w:t>
      </w:r>
    </w:p>
    <w:p w:rsidR="000A39CA" w:rsidRDefault="000A39CA"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0A39CA" w:rsidRDefault="004941BC" w:rsidP="00396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sz w:val="22"/>
        </w:rPr>
      </w:pPr>
      <w:r>
        <w:rPr>
          <w:rFonts w:ascii="Arial" w:hAnsi="Arial"/>
          <w:b/>
          <w:sz w:val="22"/>
        </w:rPr>
        <w:t>Q</w:t>
      </w:r>
      <w:r w:rsidR="005F6082" w:rsidRPr="000A39CA">
        <w:rPr>
          <w:rFonts w:ascii="Arial" w:hAnsi="Arial"/>
          <w:b/>
          <w:sz w:val="22"/>
        </w:rPr>
        <w:t>.</w:t>
      </w:r>
      <w:r w:rsidR="005F6082" w:rsidRPr="000A39CA">
        <w:rPr>
          <w:rFonts w:ascii="Arial" w:hAnsi="Arial"/>
          <w:b/>
          <w:sz w:val="22"/>
        </w:rPr>
        <w:tab/>
        <w:t>Fair Housing Policy</w:t>
      </w:r>
      <w:r w:rsidR="005F6082" w:rsidRPr="00E03091">
        <w:rPr>
          <w:rFonts w:ascii="Arial" w:hAnsi="Arial"/>
          <w:i/>
          <w:sz w:val="22"/>
        </w:rPr>
        <w:fldChar w:fldCharType="begin"/>
      </w:r>
      <w:r w:rsidR="005F6082" w:rsidRPr="00E03091">
        <w:rPr>
          <w:rFonts w:ascii="Arial" w:hAnsi="Arial"/>
          <w:i/>
          <w:sz w:val="22"/>
        </w:rPr>
        <w:instrText>tc \l2 "R.</w:instrText>
      </w:r>
      <w:r w:rsidR="005F6082" w:rsidRPr="00E03091">
        <w:rPr>
          <w:rFonts w:ascii="Arial" w:hAnsi="Arial"/>
          <w:i/>
          <w:sz w:val="22"/>
        </w:rPr>
        <w:tab/>
        <w:instrText>Fair Housing Policy</w:instrText>
      </w:r>
      <w:r w:rsidR="005F6082" w:rsidRPr="00E03091">
        <w:rPr>
          <w:rFonts w:ascii="Arial" w:hAnsi="Arial"/>
          <w:i/>
          <w:sz w:val="22"/>
        </w:rPr>
        <w:fldChar w:fldCharType="end"/>
      </w:r>
    </w:p>
    <w:p w:rsidR="00C03253" w:rsidRDefault="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22"/>
        </w:rPr>
      </w:pPr>
      <w:r>
        <w:rPr>
          <w:rFonts w:ascii="Arial" w:hAnsi="Arial"/>
          <w:sz w:val="22"/>
        </w:rPr>
        <w:tab/>
      </w:r>
    </w:p>
    <w:p w:rsidR="00526BE1" w:rsidRDefault="00526BE1" w:rsidP="00526BE1">
      <w:pPr>
        <w:pStyle w:val="BodyText"/>
        <w:ind w:left="1440"/>
        <w:jc w:val="both"/>
        <w:rPr>
          <w:b w:val="0"/>
          <w:sz w:val="22"/>
          <w:szCs w:val="22"/>
        </w:rPr>
      </w:pPr>
      <w:r w:rsidRPr="00526BE1">
        <w:rPr>
          <w:b w:val="0"/>
          <w:sz w:val="22"/>
          <w:szCs w:val="22"/>
        </w:rPr>
        <w:t>It is the policy of the Board to ensure fair housing opportunity in a</w:t>
      </w:r>
      <w:r w:rsidR="00EC6E1E">
        <w:rPr>
          <w:b w:val="0"/>
          <w:sz w:val="22"/>
          <w:szCs w:val="22"/>
        </w:rPr>
        <w:t>l</w:t>
      </w:r>
      <w:r w:rsidRPr="00526BE1">
        <w:rPr>
          <w:b w:val="0"/>
          <w:sz w:val="22"/>
          <w:szCs w:val="22"/>
        </w:rPr>
        <w:t xml:space="preserve">l Board programs and to administer its housing programs affirmatively, so that all residents of similar income levels have equal access to Board programs regardless of race, color, creed, religion, national origin, sex, marital status, status with regard to public assistance, disability, or familial status. </w:t>
      </w:r>
    </w:p>
    <w:p w:rsidR="00526BE1" w:rsidRPr="00526BE1" w:rsidRDefault="00526BE1" w:rsidP="00526BE1">
      <w:pPr>
        <w:pStyle w:val="BodyText"/>
        <w:ind w:left="1440"/>
        <w:jc w:val="both"/>
        <w:rPr>
          <w:b w:val="0"/>
          <w:sz w:val="22"/>
          <w:szCs w:val="22"/>
        </w:rPr>
      </w:pPr>
    </w:p>
    <w:p w:rsidR="00C03253" w:rsidRPr="000A39CA" w:rsidRDefault="00C03253" w:rsidP="000A39CA">
      <w:pPr>
        <w:pStyle w:val="BodyText"/>
        <w:tabs>
          <w:tab w:val="left" w:pos="1440"/>
        </w:tabs>
        <w:ind w:left="1440"/>
        <w:jc w:val="both"/>
        <w:rPr>
          <w:b w:val="0"/>
          <w:sz w:val="22"/>
        </w:rPr>
      </w:pPr>
      <w:r w:rsidRPr="001D771A">
        <w:rPr>
          <w:b w:val="0"/>
          <w:sz w:val="22"/>
        </w:rPr>
        <w:t xml:space="preserve">Participants in the </w:t>
      </w:r>
      <w:r w:rsidR="00600022" w:rsidRPr="003424C2">
        <w:rPr>
          <w:rFonts w:cs="Arial"/>
          <w:b w:val="0"/>
          <w:sz w:val="22"/>
          <w:szCs w:val="22"/>
        </w:rPr>
        <w:t>HTC</w:t>
      </w:r>
      <w:r w:rsidR="00600022">
        <w:rPr>
          <w:rFonts w:cs="Arial"/>
          <w:sz w:val="22"/>
          <w:szCs w:val="22"/>
        </w:rPr>
        <w:t xml:space="preserve"> </w:t>
      </w:r>
      <w:r w:rsidRPr="001D771A">
        <w:rPr>
          <w:b w:val="0"/>
          <w:sz w:val="22"/>
        </w:rPr>
        <w:t xml:space="preserve">Program will be required to use affirmative fair housing marketing practices in soliciting renters, determining eligibility, and concluding all transactions as addressed in Title VIII of the Civil Rights Act of 1968, as amended by the Fair Housing Amendment Act of 1988, as well as the fair housing protections provided by the Minnesota Human Rights Act, which adds creed, marital status, status with regard to public housing, and sexual orientation, and any applicable City Civil Rights ordinances.   </w:t>
      </w:r>
      <w:r w:rsidRPr="000A39CA">
        <w:rPr>
          <w:b w:val="0"/>
          <w:sz w:val="22"/>
        </w:rPr>
        <w:t xml:space="preserve">In part, regarding rental housing issues, Title VIII, the Human Rights Act, and applicable City Civil Rights ordinances make it unlawful to: (i) discriminate in the selection/acceptance of applicants in the rental of housing units; (ii) discriminate in terms, conditions or privileges of the rental of a dwelling unit; (iii) engage in any conduct relating to the provision of housing that otherwise make unavailable or denies the rental of a dwelling unit; (iv) make or publish (or have anyone else make or publish) </w:t>
      </w:r>
      <w:r w:rsidRPr="000A39CA">
        <w:rPr>
          <w:b w:val="0"/>
          <w:sz w:val="22"/>
        </w:rPr>
        <w:lastRenderedPageBreak/>
        <w:t>advertisements that indicate preferences or limitations based on race, color, creed, religion, national origin, sex, marital status, status with regard  to public assistance, disability, familial status, or sexual orientation.; (v) tell a person that because of race, color, creed, religion, national origin, sex, marital status, status with regard  to public assistance, disability, familial status, or sexual orientation, a dwelling unit is not available when it is; and (vi) deny access to, or membership or participation in, associations or other services organizations or facilities relating to the business of renting a dwelling or discriminate in the terms or conditions of membership or participation.</w:t>
      </w:r>
    </w:p>
    <w:p w:rsidR="00C03253" w:rsidRPr="000A39CA" w:rsidRDefault="00C03253" w:rsidP="00C03253">
      <w:pPr>
        <w:rPr>
          <w:rFonts w:ascii="Arial" w:hAnsi="Arial"/>
          <w:sz w:val="22"/>
        </w:rPr>
      </w:pPr>
    </w:p>
    <w:p w:rsidR="00C03253" w:rsidRPr="000A39CA" w:rsidRDefault="00C03253" w:rsidP="00C0325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0A39CA">
        <w:rPr>
          <w:rFonts w:ascii="Arial" w:hAnsi="Arial"/>
          <w:sz w:val="22"/>
        </w:rPr>
        <w:t>Owners will be required to affirmatively</w:t>
      </w:r>
      <w:r w:rsidR="00FE25BC" w:rsidRPr="000A39CA">
        <w:rPr>
          <w:rFonts w:ascii="Arial" w:hAnsi="Arial"/>
          <w:sz w:val="22"/>
        </w:rPr>
        <w:t xml:space="preserve"> market the availability of units in any project that receives </w:t>
      </w:r>
      <w:r w:rsidR="00600022">
        <w:rPr>
          <w:rFonts w:ascii="Arial" w:hAnsi="Arial" w:cs="Arial"/>
          <w:sz w:val="22"/>
          <w:szCs w:val="22"/>
        </w:rPr>
        <w:t>HTC</w:t>
      </w:r>
      <w:r w:rsidR="00FE25BC" w:rsidRPr="000A39CA">
        <w:rPr>
          <w:rFonts w:ascii="Arial" w:hAnsi="Arial"/>
          <w:sz w:val="22"/>
        </w:rPr>
        <w:t>.  Owners shall develop and su</w:t>
      </w:r>
      <w:r w:rsidR="00602D0D">
        <w:rPr>
          <w:rFonts w:ascii="Arial" w:hAnsi="Arial"/>
          <w:sz w:val="22"/>
        </w:rPr>
        <w:t>bmit with their A</w:t>
      </w:r>
      <w:r w:rsidR="00492323">
        <w:rPr>
          <w:rFonts w:ascii="Arial" w:hAnsi="Arial"/>
          <w:sz w:val="22"/>
        </w:rPr>
        <w:t xml:space="preserve">pplication an </w:t>
      </w:r>
      <w:r w:rsidR="00FE25BC" w:rsidRPr="000A39CA">
        <w:rPr>
          <w:rFonts w:ascii="Arial" w:hAnsi="Arial"/>
          <w:sz w:val="22"/>
        </w:rPr>
        <w:t>Affirmative Marketing Plan that includes:</w:t>
      </w:r>
    </w:p>
    <w:p w:rsidR="00C03253" w:rsidRPr="000A39CA" w:rsidRDefault="00C03253" w:rsidP="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E4292" w:rsidRDefault="0039687B" w:rsidP="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(1)</w:t>
      </w:r>
      <w:r w:rsidR="00C03253" w:rsidRPr="000A39CA">
        <w:rPr>
          <w:rFonts w:ascii="Arial" w:hAnsi="Arial"/>
          <w:sz w:val="22"/>
        </w:rPr>
        <w:t xml:space="preserve"> </w:t>
      </w:r>
      <w:r w:rsidR="001D0604">
        <w:rPr>
          <w:rFonts w:ascii="Arial" w:hAnsi="Arial"/>
          <w:sz w:val="22"/>
        </w:rPr>
        <w:tab/>
      </w:r>
      <w:r w:rsidR="00FE25BC" w:rsidRPr="000A39CA">
        <w:rPr>
          <w:rFonts w:ascii="Arial" w:hAnsi="Arial"/>
          <w:sz w:val="22"/>
        </w:rPr>
        <w:t>Specific steps to reach out</w:t>
      </w:r>
      <w:r w:rsidR="00C03253" w:rsidRPr="000A39CA">
        <w:rPr>
          <w:rFonts w:ascii="Arial" w:hAnsi="Arial"/>
          <w:sz w:val="22"/>
        </w:rPr>
        <w:t xml:space="preserve"> to all groups protected by the Civil Rights Act </w:t>
      </w:r>
      <w:r w:rsidR="005E4292">
        <w:rPr>
          <w:rFonts w:ascii="Arial" w:hAnsi="Arial"/>
          <w:sz w:val="22"/>
        </w:rPr>
        <w:tab/>
      </w:r>
      <w:r w:rsidR="00C03253" w:rsidRPr="000A39CA">
        <w:rPr>
          <w:rFonts w:ascii="Arial" w:hAnsi="Arial"/>
          <w:sz w:val="22"/>
        </w:rPr>
        <w:t xml:space="preserve">of </w:t>
      </w:r>
    </w:p>
    <w:p w:rsidR="005E4292" w:rsidRDefault="001D0604" w:rsidP="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r>
      <w:r w:rsidR="00C03253" w:rsidRPr="000A39CA">
        <w:rPr>
          <w:rFonts w:ascii="Arial" w:hAnsi="Arial"/>
          <w:sz w:val="22"/>
        </w:rPr>
        <w:t xml:space="preserve">1968, as amended in 1988, and those protected by the Minnesota Human </w:t>
      </w:r>
      <w:r>
        <w:rPr>
          <w:rFonts w:ascii="Arial" w:hAnsi="Arial"/>
          <w:sz w:val="22"/>
        </w:rPr>
        <w:tab/>
      </w:r>
      <w:r w:rsidR="00C03253" w:rsidRPr="000A39CA">
        <w:rPr>
          <w:rFonts w:ascii="Arial" w:hAnsi="Arial"/>
          <w:sz w:val="22"/>
        </w:rPr>
        <w:t>Rights Act and applicable City Civil Rights ordinances</w:t>
      </w:r>
      <w:r w:rsidR="00FE25BC" w:rsidRPr="000A39CA">
        <w:rPr>
          <w:rFonts w:ascii="Arial" w:hAnsi="Arial"/>
          <w:sz w:val="22"/>
        </w:rPr>
        <w:t xml:space="preserve">, particularly </w:t>
      </w:r>
      <w:r w:rsidR="005E4292">
        <w:rPr>
          <w:rFonts w:ascii="Arial" w:hAnsi="Arial"/>
          <w:sz w:val="22"/>
        </w:rPr>
        <w:tab/>
      </w:r>
      <w:r w:rsidR="00FE25BC" w:rsidRPr="000A39CA">
        <w:rPr>
          <w:rFonts w:ascii="Arial" w:hAnsi="Arial"/>
          <w:sz w:val="22"/>
        </w:rPr>
        <w:t>protected groups that likely would not otherwise be aware of housing</w:t>
      </w:r>
    </w:p>
    <w:p w:rsidR="00C03253" w:rsidRPr="000A39CA" w:rsidRDefault="005E4292" w:rsidP="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b/>
      </w:r>
      <w:r w:rsidR="00FE25BC" w:rsidRPr="000A39CA">
        <w:rPr>
          <w:rFonts w:ascii="Arial" w:hAnsi="Arial"/>
          <w:sz w:val="22"/>
        </w:rPr>
        <w:t xml:space="preserve"> opportunities in the project.</w:t>
      </w:r>
      <w:r w:rsidR="00C03253" w:rsidRPr="000A39CA">
        <w:rPr>
          <w:rFonts w:ascii="Arial" w:hAnsi="Arial"/>
          <w:sz w:val="22"/>
        </w:rPr>
        <w:t xml:space="preserve"> </w:t>
      </w:r>
    </w:p>
    <w:p w:rsidR="00C03253" w:rsidRPr="000A39CA" w:rsidRDefault="0039687B" w:rsidP="00C03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(2)</w:t>
      </w:r>
      <w:r w:rsidR="00C03253" w:rsidRPr="000A39CA">
        <w:rPr>
          <w:rFonts w:ascii="Arial" w:hAnsi="Arial"/>
          <w:sz w:val="22"/>
        </w:rPr>
        <w:t xml:space="preserve"> </w:t>
      </w:r>
      <w:r w:rsidR="001D0604">
        <w:rPr>
          <w:rFonts w:ascii="Arial" w:hAnsi="Arial"/>
          <w:sz w:val="22"/>
        </w:rPr>
        <w:tab/>
      </w:r>
      <w:r w:rsidR="00FE25BC" w:rsidRPr="000A39CA">
        <w:rPr>
          <w:rFonts w:ascii="Arial" w:hAnsi="Arial"/>
          <w:sz w:val="22"/>
        </w:rPr>
        <w:t xml:space="preserve">An </w:t>
      </w:r>
      <w:r w:rsidR="00C03253" w:rsidRPr="000A39CA">
        <w:rPr>
          <w:rFonts w:ascii="Arial" w:hAnsi="Arial"/>
          <w:sz w:val="22"/>
        </w:rPr>
        <w:t xml:space="preserve">analysis to </w:t>
      </w:r>
      <w:r w:rsidR="00FE25BC" w:rsidRPr="000A39CA">
        <w:rPr>
          <w:rFonts w:ascii="Arial" w:hAnsi="Arial"/>
          <w:sz w:val="22"/>
        </w:rPr>
        <w:t>ensure that</w:t>
      </w:r>
      <w:r w:rsidR="00C03253" w:rsidRPr="000A39CA">
        <w:rPr>
          <w:rFonts w:ascii="Arial" w:hAnsi="Arial"/>
          <w:sz w:val="22"/>
        </w:rPr>
        <w:t xml:space="preserve"> all steps </w:t>
      </w:r>
      <w:r w:rsidR="00FE25BC" w:rsidRPr="000A39CA">
        <w:rPr>
          <w:rFonts w:ascii="Arial" w:hAnsi="Arial"/>
          <w:sz w:val="22"/>
        </w:rPr>
        <w:t xml:space="preserve">in the rental process </w:t>
      </w:r>
      <w:r w:rsidR="00C03253" w:rsidRPr="000A39CA">
        <w:rPr>
          <w:rFonts w:ascii="Arial" w:hAnsi="Arial"/>
          <w:sz w:val="22"/>
        </w:rPr>
        <w:t>are non-</w:t>
      </w:r>
      <w:r w:rsidR="001D0604">
        <w:rPr>
          <w:rFonts w:ascii="Arial" w:hAnsi="Arial"/>
          <w:sz w:val="22"/>
        </w:rPr>
        <w:tab/>
      </w:r>
      <w:r w:rsidR="00C03253" w:rsidRPr="000A39CA">
        <w:rPr>
          <w:rFonts w:ascii="Arial" w:hAnsi="Arial"/>
          <w:sz w:val="22"/>
        </w:rPr>
        <w:t>discriminatory</w:t>
      </w:r>
    </w:p>
    <w:p w:rsidR="00C03253" w:rsidRPr="001D0604" w:rsidRDefault="0039687B" w:rsidP="0039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(3)</w:t>
      </w:r>
      <w:r>
        <w:rPr>
          <w:rFonts w:ascii="Arial" w:hAnsi="Arial"/>
          <w:sz w:val="22"/>
        </w:rPr>
        <w:tab/>
      </w:r>
      <w:r w:rsidR="00FE25BC" w:rsidRPr="001D0604">
        <w:rPr>
          <w:rFonts w:ascii="Arial" w:hAnsi="Arial"/>
          <w:sz w:val="22"/>
        </w:rPr>
        <w:t>A commitment that up</w:t>
      </w:r>
      <w:r w:rsidR="00C03253" w:rsidRPr="001D0604">
        <w:rPr>
          <w:rFonts w:ascii="Arial" w:hAnsi="Arial"/>
          <w:sz w:val="22"/>
        </w:rPr>
        <w:t>on request by CPED staff</w:t>
      </w:r>
      <w:r w:rsidR="000A39CA" w:rsidRPr="001D0604">
        <w:rPr>
          <w:rFonts w:ascii="Arial" w:hAnsi="Arial"/>
          <w:sz w:val="22"/>
        </w:rPr>
        <w:t xml:space="preserve"> or HRA staff respectively</w:t>
      </w:r>
      <w:r w:rsidR="00C03253" w:rsidRPr="001D0604">
        <w:rPr>
          <w:rFonts w:ascii="Arial" w:hAnsi="Arial"/>
          <w:sz w:val="22"/>
        </w:rPr>
        <w:t xml:space="preserve">, the </w:t>
      </w:r>
      <w:r w:rsidR="00FE25BC" w:rsidRPr="001D0604">
        <w:rPr>
          <w:rFonts w:ascii="Arial" w:hAnsi="Arial"/>
          <w:sz w:val="22"/>
        </w:rPr>
        <w:t xml:space="preserve">owner will submit additional </w:t>
      </w:r>
      <w:r w:rsidR="00C03253" w:rsidRPr="001D0604">
        <w:rPr>
          <w:rFonts w:ascii="Arial" w:hAnsi="Arial"/>
          <w:sz w:val="22"/>
        </w:rPr>
        <w:t>marketing plans, reports and documents that confirm the owner’s fair housing efforts</w:t>
      </w:r>
      <w:r w:rsidR="00FE25BC" w:rsidRPr="001D0604">
        <w:rPr>
          <w:rFonts w:ascii="Arial" w:hAnsi="Arial"/>
          <w:sz w:val="22"/>
        </w:rPr>
        <w:t>.</w:t>
      </w:r>
    </w:p>
    <w:p w:rsidR="000A39CA" w:rsidRPr="001D0604" w:rsidRDefault="000A39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Failure to comply with the foregoing requirements will prompt Board staff to prepare a full report to the Executive Director of the Board, or to the Executive Director of </w:t>
      </w:r>
      <w:r w:rsidR="00350A65">
        <w:rPr>
          <w:rFonts w:ascii="Arial" w:hAnsi="Arial"/>
          <w:sz w:val="22"/>
        </w:rPr>
        <w:t>CPED</w:t>
      </w:r>
      <w:r>
        <w:rPr>
          <w:rFonts w:ascii="Arial" w:hAnsi="Arial"/>
          <w:sz w:val="22"/>
        </w:rPr>
        <w:t xml:space="preserve"> or HRA.  Non</w:t>
      </w:r>
      <w:r>
        <w:rPr>
          <w:rFonts w:ascii="Arial" w:hAnsi="Arial"/>
          <w:sz w:val="22"/>
        </w:rPr>
        <w:softHyphen/>
        <w:t xml:space="preserve">compliance could result in appropriate action by the Board, </w:t>
      </w:r>
      <w:r w:rsidR="00894290">
        <w:rPr>
          <w:rFonts w:ascii="Arial" w:hAnsi="Arial"/>
          <w:sz w:val="22"/>
        </w:rPr>
        <w:t>CPED</w:t>
      </w:r>
      <w:r>
        <w:rPr>
          <w:rFonts w:ascii="Arial" w:hAnsi="Arial"/>
          <w:sz w:val="22"/>
        </w:rPr>
        <w:t xml:space="preserve"> or HRA, including expulsion from </w:t>
      </w:r>
      <w:r w:rsidR="00561A52">
        <w:rPr>
          <w:rFonts w:ascii="Arial" w:hAnsi="Arial"/>
          <w:sz w:val="22"/>
        </w:rPr>
        <w:t xml:space="preserve">the </w:t>
      </w:r>
      <w:r>
        <w:rPr>
          <w:rFonts w:ascii="Arial" w:hAnsi="Arial"/>
          <w:sz w:val="22"/>
        </w:rPr>
        <w:t xml:space="preserve">Board, </w:t>
      </w:r>
      <w:r w:rsidR="00894290">
        <w:rPr>
          <w:rFonts w:ascii="Arial" w:hAnsi="Arial"/>
          <w:sz w:val="22"/>
        </w:rPr>
        <w:t>CPED</w:t>
      </w:r>
      <w:r>
        <w:rPr>
          <w:rFonts w:ascii="Arial" w:hAnsi="Arial"/>
          <w:sz w:val="22"/>
        </w:rPr>
        <w:t xml:space="preserve"> or HRA programs.</w:t>
      </w:r>
    </w:p>
    <w:p w:rsidR="005F6082" w:rsidRPr="00E03091" w:rsidRDefault="005F6082" w:rsidP="00AA57F5">
      <w:pPr>
        <w:pStyle w:val="Heading1"/>
        <w:spacing w:after="0"/>
        <w:rPr>
          <w:rFonts w:ascii="Arial" w:hAnsi="Arial"/>
          <w:sz w:val="22"/>
        </w:rPr>
      </w:pPr>
      <w:bookmarkStart w:id="41" w:name="_Toc511903019"/>
      <w:r w:rsidRPr="00E03091">
        <w:rPr>
          <w:rFonts w:ascii="Arial" w:hAnsi="Arial"/>
          <w:sz w:val="22"/>
        </w:rPr>
        <w:t>V.</w:t>
      </w:r>
      <w:r w:rsidRPr="00E03091">
        <w:rPr>
          <w:rFonts w:ascii="Arial" w:hAnsi="Arial"/>
          <w:sz w:val="22"/>
        </w:rPr>
        <w:tab/>
        <w:t>DEVELOPMENT STANDARDS</w:t>
      </w:r>
      <w:r w:rsidRPr="00E03091">
        <w:rPr>
          <w:rFonts w:ascii="Arial" w:hAnsi="Arial"/>
          <w:sz w:val="22"/>
        </w:rPr>
        <w:fldChar w:fldCharType="begin"/>
      </w:r>
      <w:r w:rsidRPr="00E03091">
        <w:rPr>
          <w:rFonts w:ascii="Arial" w:hAnsi="Arial"/>
          <w:sz w:val="22"/>
        </w:rPr>
        <w:instrText>tc \l1 "V.</w:instrText>
      </w:r>
      <w:r w:rsidRPr="00E03091">
        <w:rPr>
          <w:rFonts w:ascii="Arial" w:hAnsi="Arial"/>
          <w:sz w:val="22"/>
        </w:rPr>
        <w:tab/>
        <w:instrText>DEVELOPMENT STANDARDS</w:instrText>
      </w:r>
      <w:r w:rsidRPr="00E03091">
        <w:rPr>
          <w:rFonts w:ascii="Arial" w:hAnsi="Arial"/>
          <w:sz w:val="22"/>
        </w:rPr>
        <w:fldChar w:fldCharType="end"/>
      </w:r>
      <w:bookmarkEnd w:id="41"/>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The Board will review project costs based on comparability and reasonableness.  The Board will take into consideration unique characteristics of the project and its comparability to similar projects.  The Board will require</w:t>
      </w:r>
      <w:r w:rsidR="00492323">
        <w:rPr>
          <w:rFonts w:ascii="Arial" w:hAnsi="Arial"/>
          <w:sz w:val="22"/>
        </w:rPr>
        <w:t xml:space="preserve"> additional documentation if it determines that </w:t>
      </w:r>
      <w:r>
        <w:rPr>
          <w:rFonts w:ascii="Arial" w:hAnsi="Arial"/>
          <w:sz w:val="22"/>
        </w:rPr>
        <w:t>the proposed costs are not comparable or reasonab</w:t>
      </w:r>
      <w:r w:rsidR="00B74011">
        <w:rPr>
          <w:rFonts w:ascii="Arial" w:hAnsi="Arial"/>
          <w:sz w:val="22"/>
        </w:rPr>
        <w:t>l</w:t>
      </w:r>
      <w:r w:rsidR="007B36C1">
        <w:rPr>
          <w:rFonts w:ascii="Arial" w:hAnsi="Arial"/>
          <w:sz w:val="22"/>
        </w:rPr>
        <w:t xml:space="preserve">e.  Projects funded under the </w:t>
      </w:r>
      <w:r w:rsidR="00B74011">
        <w:rPr>
          <w:rFonts w:ascii="Arial" w:hAnsi="Arial"/>
          <w:sz w:val="22"/>
        </w:rPr>
        <w:t xml:space="preserve">HTC </w:t>
      </w:r>
      <w:r>
        <w:rPr>
          <w:rFonts w:ascii="Arial" w:hAnsi="Arial"/>
          <w:sz w:val="22"/>
        </w:rPr>
        <w:t xml:space="preserve">Program will be evaluated according to the following standards.  Small projects, hard-to-develop projects, and projects </w:t>
      </w:r>
      <w:r w:rsidR="00B74011">
        <w:rPr>
          <w:rFonts w:ascii="Arial" w:hAnsi="Arial"/>
          <w:sz w:val="22"/>
        </w:rPr>
        <w:t>located</w:t>
      </w:r>
      <w:r>
        <w:rPr>
          <w:rFonts w:ascii="Arial" w:hAnsi="Arial"/>
          <w:sz w:val="22"/>
        </w:rPr>
        <w:t xml:space="preserve"> in difficult-to-develop areas may be considered eligible for variances from these standards, if justified.</w:t>
      </w:r>
    </w:p>
    <w:p w:rsidR="005F6082" w:rsidRPr="00E03091" w:rsidRDefault="005F6082" w:rsidP="003A14BA">
      <w:pPr>
        <w:pStyle w:val="Heading2"/>
        <w:ind w:left="720"/>
        <w:rPr>
          <w:rFonts w:ascii="Arial" w:hAnsi="Arial"/>
          <w:i w:val="0"/>
          <w:sz w:val="22"/>
        </w:rPr>
      </w:pPr>
      <w:bookmarkStart w:id="42" w:name="_Toc511903020"/>
      <w:r w:rsidRPr="00E03091">
        <w:rPr>
          <w:rFonts w:ascii="Arial" w:hAnsi="Arial"/>
          <w:i w:val="0"/>
          <w:sz w:val="22"/>
        </w:rPr>
        <w:t>A.</w:t>
      </w:r>
      <w:r w:rsidRPr="00E03091">
        <w:rPr>
          <w:rFonts w:ascii="Arial" w:hAnsi="Arial"/>
          <w:i w:val="0"/>
          <w:sz w:val="22"/>
        </w:rPr>
        <w:tab/>
        <w:t>Project Cost Reasonableness</w:t>
      </w:r>
      <w:r w:rsidRPr="00E03091">
        <w:rPr>
          <w:rFonts w:ascii="Arial" w:hAnsi="Arial"/>
          <w:i w:val="0"/>
          <w:sz w:val="22"/>
        </w:rPr>
        <w:fldChar w:fldCharType="begin"/>
      </w:r>
      <w:r w:rsidRPr="00E03091">
        <w:rPr>
          <w:rFonts w:ascii="Arial" w:hAnsi="Arial"/>
          <w:i w:val="0"/>
          <w:sz w:val="22"/>
        </w:rPr>
        <w:instrText>tc \l2 "A.</w:instrText>
      </w:r>
      <w:r w:rsidRPr="00E03091">
        <w:rPr>
          <w:rFonts w:ascii="Arial" w:hAnsi="Arial"/>
          <w:i w:val="0"/>
          <w:sz w:val="22"/>
        </w:rPr>
        <w:tab/>
        <w:instrText>Project Cost Reasonableness</w:instrText>
      </w:r>
      <w:r w:rsidRPr="00E03091">
        <w:rPr>
          <w:rFonts w:ascii="Arial" w:hAnsi="Arial"/>
          <w:i w:val="0"/>
          <w:sz w:val="22"/>
        </w:rPr>
        <w:fldChar w:fldCharType="end"/>
      </w:r>
      <w:bookmarkEnd w:id="42"/>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will evaluate the costs of each proposed project in comparison to current comparable projects to determine whether the proposed costs are reasonable.  Current Board </w:t>
      </w:r>
      <w:r w:rsidR="00B74011">
        <w:rPr>
          <w:rFonts w:ascii="Arial" w:hAnsi="Arial"/>
          <w:sz w:val="22"/>
        </w:rPr>
        <w:t>HTC</w:t>
      </w:r>
      <w:r w:rsidR="00795808">
        <w:rPr>
          <w:rFonts w:ascii="Arial" w:hAnsi="Arial"/>
          <w:sz w:val="22"/>
        </w:rPr>
        <w:t xml:space="preserve"> </w:t>
      </w:r>
      <w:r w:rsidR="005F6082">
        <w:rPr>
          <w:rFonts w:ascii="Arial" w:hAnsi="Arial"/>
          <w:sz w:val="22"/>
        </w:rPr>
        <w:t>project comparables will continue to be the driving factor in approving project costs.</w:t>
      </w:r>
    </w:p>
    <w:p w:rsidR="005F6082" w:rsidRPr="00E03091" w:rsidRDefault="005F6082" w:rsidP="003A14BA">
      <w:pPr>
        <w:pStyle w:val="Heading2"/>
        <w:ind w:left="720"/>
        <w:rPr>
          <w:rFonts w:ascii="Arial" w:hAnsi="Arial"/>
          <w:i w:val="0"/>
          <w:sz w:val="22"/>
        </w:rPr>
      </w:pPr>
      <w:bookmarkStart w:id="43" w:name="_Toc511903021"/>
      <w:r w:rsidRPr="00E03091">
        <w:rPr>
          <w:rFonts w:ascii="Arial" w:hAnsi="Arial"/>
          <w:i w:val="0"/>
          <w:sz w:val="22"/>
        </w:rPr>
        <w:t>B.</w:t>
      </w:r>
      <w:r w:rsidRPr="00E03091">
        <w:rPr>
          <w:rFonts w:ascii="Arial" w:hAnsi="Arial"/>
          <w:i w:val="0"/>
          <w:sz w:val="22"/>
        </w:rPr>
        <w:tab/>
        <w:t>Costs of Intermediaries</w:t>
      </w:r>
      <w:r w:rsidRPr="00E03091">
        <w:rPr>
          <w:rFonts w:ascii="Arial" w:hAnsi="Arial"/>
          <w:i w:val="0"/>
          <w:sz w:val="22"/>
        </w:rPr>
        <w:fldChar w:fldCharType="begin"/>
      </w:r>
      <w:r w:rsidRPr="00E03091">
        <w:rPr>
          <w:rFonts w:ascii="Arial" w:hAnsi="Arial"/>
          <w:i w:val="0"/>
          <w:sz w:val="22"/>
        </w:rPr>
        <w:instrText>tc \l2 "B.</w:instrText>
      </w:r>
      <w:r w:rsidRPr="00E03091">
        <w:rPr>
          <w:rFonts w:ascii="Arial" w:hAnsi="Arial"/>
          <w:i w:val="0"/>
          <w:sz w:val="22"/>
        </w:rPr>
        <w:tab/>
        <w:instrText>Costs of Intermediaries</w:instrText>
      </w:r>
      <w:r w:rsidRPr="00E03091">
        <w:rPr>
          <w:rFonts w:ascii="Arial" w:hAnsi="Arial"/>
          <w:i w:val="0"/>
          <w:sz w:val="22"/>
        </w:rPr>
        <w:fldChar w:fldCharType="end"/>
      </w:r>
      <w:bookmarkEnd w:id="43"/>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lastRenderedPageBreak/>
        <w:t>CPED</w:t>
      </w:r>
      <w:r w:rsidR="005F6082">
        <w:rPr>
          <w:rFonts w:ascii="Arial" w:hAnsi="Arial"/>
          <w:sz w:val="22"/>
        </w:rPr>
        <w:t xml:space="preserve"> and HRA will evaluate costs of intermediaries with a view toward minimizing such fees.  All costs of intermediaries must be reasonable, in the sole discretion of </w:t>
      </w:r>
      <w:r>
        <w:rPr>
          <w:rFonts w:ascii="Arial" w:hAnsi="Arial"/>
          <w:sz w:val="22"/>
        </w:rPr>
        <w:t>CPED</w:t>
      </w:r>
      <w:r w:rsidR="005F6082">
        <w:rPr>
          <w:rFonts w:ascii="Arial" w:hAnsi="Arial"/>
          <w:sz w:val="22"/>
        </w:rPr>
        <w:t xml:space="preserve"> or HRA, as applicable.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F0432D"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 xml:space="preserve">For purposes of this provision, "Costs of Intermediaries" shall </w:t>
      </w:r>
      <w:r w:rsidR="00DC29A2">
        <w:rPr>
          <w:rFonts w:ascii="Arial" w:hAnsi="Arial"/>
          <w:sz w:val="22"/>
        </w:rPr>
        <w:t>be consistent with</w:t>
      </w:r>
    </w:p>
    <w:p w:rsidR="005F6082" w:rsidRDefault="007B3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Minnesota Housing</w:t>
      </w:r>
      <w:r w:rsidR="00561A5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65808" w:rsidRDefault="00765808" w:rsidP="0076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Pr>
          <w:rFonts w:ascii="Arial" w:hAnsi="Arial"/>
          <w:b/>
          <w:color w:val="FF0000"/>
          <w:sz w:val="22"/>
        </w:rPr>
        <w:tab/>
      </w:r>
      <w:r>
        <w:rPr>
          <w:rFonts w:ascii="Arial" w:hAnsi="Arial"/>
          <w:b/>
          <w:color w:val="FF0000"/>
          <w:sz w:val="22"/>
        </w:rPr>
        <w:tab/>
      </w:r>
      <w:r w:rsidRPr="00765808">
        <w:rPr>
          <w:rFonts w:ascii="Arial" w:hAnsi="Arial"/>
          <w:b/>
          <w:sz w:val="22"/>
        </w:rPr>
        <w:t>Developer Fee Limits</w:t>
      </w:r>
    </w:p>
    <w:p w:rsidR="00795808" w:rsidRDefault="00795808" w:rsidP="0079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65808" w:rsidRDefault="00765808" w:rsidP="0076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65808">
        <w:rPr>
          <w:rFonts w:ascii="Arial" w:hAnsi="Arial"/>
          <w:sz w:val="22"/>
        </w:rPr>
        <w:t>The developer fee (paid either upfront or deferred) is provided to</w:t>
      </w:r>
      <w:r w:rsidR="00492323">
        <w:rPr>
          <w:rFonts w:ascii="Arial" w:hAnsi="Arial"/>
          <w:sz w:val="22"/>
        </w:rPr>
        <w:t xml:space="preserve"> the developer of project</w:t>
      </w:r>
      <w:r w:rsidRPr="00765808">
        <w:rPr>
          <w:rFonts w:ascii="Arial" w:hAnsi="Arial"/>
          <w:sz w:val="22"/>
        </w:rPr>
        <w:t xml:space="preserve"> for time expended a</w:t>
      </w:r>
      <w:r w:rsidR="00492323">
        <w:rPr>
          <w:rFonts w:ascii="Arial" w:hAnsi="Arial"/>
          <w:sz w:val="22"/>
        </w:rPr>
        <w:t>nd risks associated with developing</w:t>
      </w:r>
      <w:r w:rsidRPr="00765808">
        <w:rPr>
          <w:rFonts w:ascii="Arial" w:hAnsi="Arial"/>
          <w:sz w:val="22"/>
        </w:rPr>
        <w:t xml:space="preserve"> a </w:t>
      </w:r>
      <w:r w:rsidR="00B74011">
        <w:rPr>
          <w:rFonts w:ascii="Arial" w:hAnsi="Arial"/>
          <w:sz w:val="22"/>
        </w:rPr>
        <w:t>project</w:t>
      </w:r>
      <w:r w:rsidRPr="00765808">
        <w:rPr>
          <w:rFonts w:ascii="Arial" w:hAnsi="Arial"/>
          <w:sz w:val="22"/>
        </w:rPr>
        <w:t>. Developer fees include developer overhead, developer processing fee, developer profit, developer construction management and any other amounts received by t</w:t>
      </w:r>
      <w:r w:rsidR="00492323">
        <w:rPr>
          <w:rFonts w:ascii="Arial" w:hAnsi="Arial"/>
          <w:sz w:val="22"/>
        </w:rPr>
        <w:t xml:space="preserve">he developer as approved by </w:t>
      </w:r>
      <w:r w:rsidRPr="00765808">
        <w:rPr>
          <w:rFonts w:ascii="Arial" w:hAnsi="Arial"/>
          <w:sz w:val="22"/>
        </w:rPr>
        <w:t>HRA</w:t>
      </w:r>
      <w:r w:rsidR="00492323">
        <w:rPr>
          <w:rFonts w:ascii="Arial" w:hAnsi="Arial"/>
          <w:sz w:val="22"/>
        </w:rPr>
        <w:t xml:space="preserve"> or CPED</w:t>
      </w:r>
      <w:r w:rsidRPr="00765808">
        <w:rPr>
          <w:rFonts w:ascii="Arial" w:hAnsi="Arial"/>
          <w:sz w:val="22"/>
        </w:rPr>
        <w:t>.</w:t>
      </w:r>
    </w:p>
    <w:p w:rsidR="00492323" w:rsidRPr="00765808" w:rsidRDefault="00492323" w:rsidP="0076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95808" w:rsidRDefault="00795808" w:rsidP="0079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The following maximum developer fee limit shall apply:</w:t>
      </w:r>
    </w:p>
    <w:p w:rsidR="003D7447" w:rsidRDefault="003D7447" w:rsidP="00795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65808" w:rsidRPr="00765808" w:rsidRDefault="00765808" w:rsidP="00994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b/>
          <w:sz w:val="22"/>
        </w:rPr>
      </w:pPr>
      <w:r w:rsidRPr="00765808">
        <w:rPr>
          <w:rFonts w:ascii="Arial" w:hAnsi="Arial"/>
          <w:b/>
          <w:sz w:val="22"/>
        </w:rPr>
        <w:t>N</w:t>
      </w:r>
      <w:r w:rsidR="00477415">
        <w:rPr>
          <w:rFonts w:ascii="Arial" w:hAnsi="Arial"/>
          <w:b/>
          <w:sz w:val="22"/>
        </w:rPr>
        <w:t>ew construction</w:t>
      </w: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65808">
        <w:rPr>
          <w:rFonts w:ascii="Arial" w:hAnsi="Arial"/>
          <w:sz w:val="22"/>
        </w:rPr>
        <w:t>N</w:t>
      </w:r>
      <w:r w:rsidR="00B74011">
        <w:rPr>
          <w:rFonts w:ascii="Arial" w:hAnsi="Arial"/>
          <w:sz w:val="22"/>
        </w:rPr>
        <w:t xml:space="preserve">o greater than 15% of the </w:t>
      </w:r>
      <w:r w:rsidR="00BD65C7">
        <w:rPr>
          <w:rFonts w:ascii="Arial" w:hAnsi="Arial"/>
          <w:sz w:val="22"/>
        </w:rPr>
        <w:t>total development costs</w:t>
      </w:r>
      <w:r w:rsidRPr="00765808">
        <w:rPr>
          <w:rFonts w:ascii="Arial" w:hAnsi="Arial"/>
          <w:sz w:val="22"/>
        </w:rPr>
        <w:t xml:space="preserve">, excluding the developer fee, </w:t>
      </w:r>
      <w:r w:rsidR="007C5072">
        <w:rPr>
          <w:rFonts w:ascii="Arial" w:hAnsi="Arial"/>
          <w:sz w:val="22"/>
        </w:rPr>
        <w:t xml:space="preserve">construction </w:t>
      </w:r>
      <w:r w:rsidRPr="00765808">
        <w:rPr>
          <w:rFonts w:ascii="Arial" w:hAnsi="Arial"/>
          <w:sz w:val="22"/>
        </w:rPr>
        <w:t>consulting fee</w:t>
      </w:r>
      <w:r w:rsidR="00EE2A3B">
        <w:rPr>
          <w:rFonts w:ascii="Arial" w:hAnsi="Arial"/>
          <w:sz w:val="22"/>
        </w:rPr>
        <w:t xml:space="preserve"> </w:t>
      </w:r>
      <w:r w:rsidR="00BD65C7">
        <w:rPr>
          <w:rFonts w:ascii="Arial" w:hAnsi="Arial"/>
          <w:sz w:val="22"/>
        </w:rPr>
        <w:t>and capitalized reserves</w:t>
      </w:r>
      <w:r w:rsidRPr="00765808">
        <w:rPr>
          <w:rFonts w:ascii="Arial" w:hAnsi="Arial"/>
          <w:sz w:val="22"/>
        </w:rPr>
        <w:t xml:space="preserve"> for the first 50 units, and no more than 8% of the </w:t>
      </w:r>
      <w:r w:rsidR="00BD65C7">
        <w:rPr>
          <w:rFonts w:ascii="Arial" w:hAnsi="Arial"/>
          <w:sz w:val="22"/>
        </w:rPr>
        <w:t>total development costs</w:t>
      </w:r>
      <w:r w:rsidRPr="00765808">
        <w:rPr>
          <w:rFonts w:ascii="Arial" w:hAnsi="Arial"/>
          <w:sz w:val="22"/>
        </w:rPr>
        <w:t>, excluding</w:t>
      </w:r>
      <w:r w:rsidR="00BD65C7">
        <w:rPr>
          <w:rFonts w:ascii="Arial" w:hAnsi="Arial"/>
          <w:sz w:val="22"/>
        </w:rPr>
        <w:t xml:space="preserve"> the developer fee, </w:t>
      </w:r>
      <w:r w:rsidR="007C5072">
        <w:rPr>
          <w:rFonts w:ascii="Arial" w:hAnsi="Arial"/>
          <w:sz w:val="22"/>
        </w:rPr>
        <w:t xml:space="preserve">construction </w:t>
      </w:r>
      <w:r w:rsidR="00BD65C7">
        <w:rPr>
          <w:rFonts w:ascii="Arial" w:hAnsi="Arial"/>
          <w:sz w:val="22"/>
        </w:rPr>
        <w:t>consulting</w:t>
      </w:r>
      <w:r w:rsidRPr="00765808">
        <w:rPr>
          <w:rFonts w:ascii="Arial" w:hAnsi="Arial"/>
          <w:sz w:val="22"/>
        </w:rPr>
        <w:t xml:space="preserve"> fee</w:t>
      </w:r>
      <w:r w:rsidR="005F78E4">
        <w:rPr>
          <w:rFonts w:ascii="Arial" w:hAnsi="Arial"/>
          <w:sz w:val="22"/>
        </w:rPr>
        <w:t xml:space="preserve"> </w:t>
      </w:r>
      <w:r w:rsidRPr="00765808">
        <w:rPr>
          <w:rFonts w:ascii="Arial" w:hAnsi="Arial"/>
          <w:sz w:val="22"/>
        </w:rPr>
        <w:t>and capitalized reserves, for 51 units and over.</w:t>
      </w: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b/>
          <w:sz w:val="22"/>
        </w:rPr>
      </w:pPr>
      <w:r w:rsidRPr="00765808">
        <w:rPr>
          <w:rFonts w:ascii="Arial" w:hAnsi="Arial"/>
          <w:b/>
          <w:sz w:val="22"/>
        </w:rPr>
        <w:t>Acquisition/Rehabilita</w:t>
      </w:r>
      <w:r w:rsidR="00477415">
        <w:rPr>
          <w:rFonts w:ascii="Arial" w:hAnsi="Arial"/>
          <w:b/>
          <w:sz w:val="22"/>
        </w:rPr>
        <w:t>tion or Adaptive Reuse Projects</w:t>
      </w: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78E4"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sidRPr="00765808">
        <w:rPr>
          <w:rFonts w:ascii="Arial" w:hAnsi="Arial"/>
          <w:sz w:val="22"/>
        </w:rPr>
        <w:t xml:space="preserve">No greater than 15% </w:t>
      </w:r>
      <w:r w:rsidR="00BD65C7">
        <w:rPr>
          <w:rFonts w:ascii="Arial" w:hAnsi="Arial"/>
          <w:sz w:val="22"/>
        </w:rPr>
        <w:t>of total development costs</w:t>
      </w:r>
      <w:r w:rsidRPr="00765808">
        <w:rPr>
          <w:rFonts w:ascii="Arial" w:hAnsi="Arial"/>
          <w:sz w:val="22"/>
        </w:rPr>
        <w:t xml:space="preserve">, excluding the developer fee, construction consulting fee, </w:t>
      </w:r>
      <w:r w:rsidR="00BD65C7">
        <w:rPr>
          <w:rFonts w:ascii="Arial" w:hAnsi="Arial"/>
          <w:sz w:val="22"/>
        </w:rPr>
        <w:t xml:space="preserve">capitalized reserves </w:t>
      </w:r>
      <w:r w:rsidRPr="00765808">
        <w:rPr>
          <w:rFonts w:ascii="Arial" w:hAnsi="Arial"/>
          <w:sz w:val="22"/>
        </w:rPr>
        <w:t>and acquisition</w:t>
      </w:r>
      <w:r w:rsidR="00600022">
        <w:rPr>
          <w:rFonts w:ascii="Arial" w:hAnsi="Arial"/>
          <w:sz w:val="22"/>
        </w:rPr>
        <w:t xml:space="preserve"> costs</w:t>
      </w:r>
      <w:r w:rsidRPr="00765808">
        <w:rPr>
          <w:rFonts w:ascii="Arial" w:hAnsi="Arial"/>
          <w:sz w:val="22"/>
        </w:rPr>
        <w:t>.</w:t>
      </w:r>
    </w:p>
    <w:p w:rsidR="00765808" w:rsidRPr="00765808" w:rsidRDefault="00765808" w:rsidP="00994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Pr="00E03091" w:rsidRDefault="005F6082" w:rsidP="005F78E4">
      <w:pPr>
        <w:pStyle w:val="Heading2"/>
        <w:spacing w:before="0" w:after="0"/>
        <w:ind w:left="720"/>
        <w:rPr>
          <w:rFonts w:ascii="Arial" w:hAnsi="Arial"/>
          <w:i w:val="0"/>
          <w:sz w:val="22"/>
        </w:rPr>
      </w:pPr>
      <w:bookmarkStart w:id="44" w:name="_Toc511903022"/>
      <w:r w:rsidRPr="00E03091">
        <w:rPr>
          <w:rFonts w:ascii="Arial" w:hAnsi="Arial"/>
          <w:i w:val="0"/>
          <w:sz w:val="22"/>
        </w:rPr>
        <w:t>C.</w:t>
      </w:r>
      <w:r w:rsidRPr="00E03091">
        <w:rPr>
          <w:rFonts w:ascii="Arial" w:hAnsi="Arial"/>
          <w:i w:val="0"/>
          <w:sz w:val="22"/>
        </w:rPr>
        <w:tab/>
        <w:t>Reserves/Contingencies</w:t>
      </w:r>
      <w:r w:rsidRPr="00E03091">
        <w:rPr>
          <w:rFonts w:ascii="Arial" w:hAnsi="Arial"/>
          <w:i w:val="0"/>
          <w:sz w:val="22"/>
        </w:rPr>
        <w:fldChar w:fldCharType="begin"/>
      </w:r>
      <w:r w:rsidRPr="00E03091">
        <w:rPr>
          <w:rFonts w:ascii="Arial" w:hAnsi="Arial"/>
          <w:i w:val="0"/>
          <w:sz w:val="22"/>
        </w:rPr>
        <w:instrText>tc \l2 "C.</w:instrText>
      </w:r>
      <w:r w:rsidRPr="00E03091">
        <w:rPr>
          <w:rFonts w:ascii="Arial" w:hAnsi="Arial"/>
          <w:i w:val="0"/>
          <w:sz w:val="22"/>
        </w:rPr>
        <w:tab/>
        <w:instrText>Reserves/Contingencies</w:instrText>
      </w:r>
      <w:r w:rsidRPr="00E03091">
        <w:rPr>
          <w:rFonts w:ascii="Arial" w:hAnsi="Arial"/>
          <w:i w:val="0"/>
          <w:sz w:val="22"/>
        </w:rPr>
        <w:fldChar w:fldCharType="end"/>
      </w:r>
      <w:bookmarkEnd w:id="44"/>
    </w:p>
    <w:p w:rsidR="005F78E4" w:rsidRDefault="005F78E4">
      <w:pPr>
        <w:pStyle w:val="BodyTextIndent"/>
      </w:pPr>
    </w:p>
    <w:p w:rsidR="005F6082" w:rsidRDefault="00350A65">
      <w:pPr>
        <w:pStyle w:val="BodyTextIndent"/>
      </w:pPr>
      <w:r>
        <w:t>CPED</w:t>
      </w:r>
      <w:r w:rsidR="005F6082">
        <w:t xml:space="preserve"> or HRA will require documentation of the amount and disposition of reserves/contingencies.  If they revert back to the developer, general partner, or any </w:t>
      </w:r>
      <w:r w:rsidR="00795808">
        <w:t xml:space="preserve">other </w:t>
      </w:r>
      <w:r w:rsidR="005F6082">
        <w:t xml:space="preserve">ownership interest, </w:t>
      </w:r>
      <w:r>
        <w:t>CPED</w:t>
      </w:r>
      <w:r w:rsidR="005F6082">
        <w:t xml:space="preserve"> or HRA will consider the reserves/contingencies as deferred developer fee and the above limits will apply.</w:t>
      </w:r>
    </w:p>
    <w:p w:rsidR="005F78E4" w:rsidRDefault="005F78E4">
      <w:pPr>
        <w:pStyle w:val="BodyTextIndent"/>
      </w:pPr>
    </w:p>
    <w:p w:rsidR="005F78E4" w:rsidRDefault="005F6082" w:rsidP="005F78E4">
      <w:pPr>
        <w:pStyle w:val="Heading2"/>
        <w:spacing w:before="0" w:after="0"/>
        <w:ind w:left="720"/>
        <w:rPr>
          <w:rFonts w:ascii="Arial" w:hAnsi="Arial"/>
          <w:i w:val="0"/>
          <w:sz w:val="22"/>
        </w:rPr>
      </w:pPr>
      <w:bookmarkStart w:id="45" w:name="_Toc511903023"/>
      <w:r w:rsidRPr="00E03091">
        <w:rPr>
          <w:rFonts w:ascii="Arial" w:hAnsi="Arial"/>
          <w:i w:val="0"/>
          <w:sz w:val="22"/>
        </w:rPr>
        <w:t>D.</w:t>
      </w:r>
      <w:r w:rsidRPr="00E03091">
        <w:rPr>
          <w:rFonts w:ascii="Arial" w:hAnsi="Arial"/>
          <w:i w:val="0"/>
          <w:sz w:val="22"/>
        </w:rPr>
        <w:tab/>
        <w:t>Comparative Analyses</w:t>
      </w:r>
      <w:r w:rsidRPr="00E03091">
        <w:rPr>
          <w:rFonts w:ascii="Arial" w:hAnsi="Arial"/>
          <w:i w:val="0"/>
          <w:sz w:val="22"/>
        </w:rPr>
        <w:fldChar w:fldCharType="begin"/>
      </w:r>
      <w:r w:rsidRPr="00E03091">
        <w:rPr>
          <w:rFonts w:ascii="Arial" w:hAnsi="Arial"/>
          <w:i w:val="0"/>
          <w:sz w:val="22"/>
        </w:rPr>
        <w:instrText>tc \l2 "D.</w:instrText>
      </w:r>
      <w:r w:rsidRPr="00E03091">
        <w:rPr>
          <w:rFonts w:ascii="Arial" w:hAnsi="Arial"/>
          <w:i w:val="0"/>
          <w:sz w:val="22"/>
        </w:rPr>
        <w:tab/>
        <w:instrText>Comparative Analyses</w:instrText>
      </w:r>
      <w:r w:rsidRPr="00E03091">
        <w:rPr>
          <w:rFonts w:ascii="Arial" w:hAnsi="Arial"/>
          <w:i w:val="0"/>
          <w:sz w:val="22"/>
        </w:rPr>
        <w:fldChar w:fldCharType="end"/>
      </w:r>
      <w:bookmarkEnd w:id="45"/>
    </w:p>
    <w:p w:rsidR="005F78E4" w:rsidRPr="005F78E4" w:rsidRDefault="005F78E4" w:rsidP="005F78E4"/>
    <w:p w:rsidR="005F6082" w:rsidRDefault="0049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Notwithstanding the </w:t>
      </w:r>
      <w:r w:rsidR="005F6082">
        <w:rPr>
          <w:rFonts w:ascii="Arial" w:hAnsi="Arial"/>
          <w:sz w:val="22"/>
        </w:rPr>
        <w:t>Development Standards and the</w:t>
      </w:r>
      <w:r w:rsidR="00795808">
        <w:rPr>
          <w:rFonts w:ascii="Arial" w:hAnsi="Arial"/>
          <w:sz w:val="22"/>
        </w:rPr>
        <w:t xml:space="preserve"> Selection Criteria </w:t>
      </w:r>
      <w:r w:rsidR="004A2DEB">
        <w:rPr>
          <w:rFonts w:ascii="Arial" w:hAnsi="Arial"/>
          <w:sz w:val="22"/>
        </w:rPr>
        <w:t>set forth</w:t>
      </w:r>
      <w:r>
        <w:rPr>
          <w:rFonts w:ascii="Arial" w:hAnsi="Arial"/>
          <w:sz w:val="22"/>
        </w:rPr>
        <w:t xml:space="preserve"> </w:t>
      </w:r>
      <w:r w:rsidR="00AA164F">
        <w:rPr>
          <w:rFonts w:ascii="Arial" w:hAnsi="Arial"/>
          <w:sz w:val="22"/>
        </w:rPr>
        <w:t>in the</w:t>
      </w:r>
      <w:r w:rsidR="00795808">
        <w:rPr>
          <w:rFonts w:ascii="Arial" w:hAnsi="Arial"/>
          <w:sz w:val="22"/>
        </w:rPr>
        <w:t xml:space="preserve"> </w:t>
      </w:r>
      <w:r w:rsidR="00BD65C7">
        <w:rPr>
          <w:rFonts w:ascii="Arial" w:hAnsi="Arial"/>
          <w:sz w:val="22"/>
        </w:rPr>
        <w:t>QAP</w:t>
      </w:r>
      <w:r w:rsidR="005F6082">
        <w:rPr>
          <w:rFonts w:ascii="Arial" w:hAnsi="Arial"/>
          <w:sz w:val="22"/>
        </w:rPr>
        <w:t xml:space="preserve">, each </w:t>
      </w:r>
      <w:r>
        <w:rPr>
          <w:rFonts w:ascii="Arial" w:hAnsi="Arial"/>
          <w:sz w:val="22"/>
        </w:rPr>
        <w:t xml:space="preserve">project will be </w:t>
      </w:r>
      <w:r w:rsidR="005F6082">
        <w:rPr>
          <w:rFonts w:ascii="Arial" w:hAnsi="Arial"/>
          <w:sz w:val="22"/>
        </w:rPr>
        <w:t xml:space="preserve">analyzed on a comparative basis in a variety of categories to ensure the highest value for the </w:t>
      </w:r>
      <w:r w:rsidR="00795808">
        <w:rPr>
          <w:rFonts w:ascii="Arial" w:hAnsi="Arial"/>
          <w:sz w:val="22"/>
        </w:rPr>
        <w:t>HTC</w:t>
      </w:r>
      <w:r w:rsidR="005F6082">
        <w:rPr>
          <w:rFonts w:ascii="Arial" w:hAnsi="Arial"/>
          <w:sz w:val="22"/>
        </w:rPr>
        <w:t>s awarded.</w:t>
      </w:r>
    </w:p>
    <w:p w:rsidR="005F6082" w:rsidRPr="00E03091" w:rsidRDefault="005F6082" w:rsidP="002C5BB9">
      <w:pPr>
        <w:pStyle w:val="Heading1"/>
        <w:rPr>
          <w:rFonts w:ascii="Arial" w:hAnsi="Arial"/>
          <w:sz w:val="22"/>
        </w:rPr>
      </w:pPr>
      <w:bookmarkStart w:id="46" w:name="_Toc511903024"/>
      <w:r w:rsidRPr="00E03091">
        <w:rPr>
          <w:rFonts w:ascii="Arial" w:hAnsi="Arial"/>
          <w:sz w:val="22"/>
        </w:rPr>
        <w:t>VI.</w:t>
      </w:r>
      <w:r w:rsidRPr="00E03091">
        <w:rPr>
          <w:rFonts w:ascii="Arial" w:hAnsi="Arial"/>
          <w:sz w:val="22"/>
        </w:rPr>
        <w:tab/>
        <w:t>PROJECT SELECTION</w:t>
      </w:r>
      <w:r w:rsidRPr="00E03091">
        <w:rPr>
          <w:rFonts w:ascii="Arial" w:hAnsi="Arial"/>
          <w:sz w:val="22"/>
        </w:rPr>
        <w:fldChar w:fldCharType="begin"/>
      </w:r>
      <w:r w:rsidRPr="00E03091">
        <w:rPr>
          <w:rFonts w:ascii="Arial" w:hAnsi="Arial"/>
          <w:sz w:val="22"/>
        </w:rPr>
        <w:instrText>tc \l1 "VI.</w:instrText>
      </w:r>
      <w:r w:rsidRPr="00E03091">
        <w:rPr>
          <w:rFonts w:ascii="Arial" w:hAnsi="Arial"/>
          <w:sz w:val="22"/>
        </w:rPr>
        <w:tab/>
        <w:instrText>PROJECT SELECTION</w:instrText>
      </w:r>
      <w:r w:rsidRPr="00E03091">
        <w:rPr>
          <w:rFonts w:ascii="Arial" w:hAnsi="Arial"/>
          <w:sz w:val="22"/>
        </w:rPr>
        <w:fldChar w:fldCharType="end"/>
      </w:r>
      <w:bookmarkEnd w:id="46"/>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rPr>
      </w:pPr>
    </w:p>
    <w:p w:rsidR="005F6082" w:rsidRDefault="00602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Each A</w:t>
      </w:r>
      <w:r w:rsidR="005F6082">
        <w:rPr>
          <w:rFonts w:ascii="Arial" w:hAnsi="Arial"/>
          <w:sz w:val="22"/>
        </w:rPr>
        <w:t xml:space="preserve">pplication submitted to </w:t>
      </w:r>
      <w:r w:rsidR="00350A65">
        <w:rPr>
          <w:rFonts w:ascii="Arial" w:hAnsi="Arial"/>
          <w:sz w:val="22"/>
        </w:rPr>
        <w:t>CPED</w:t>
      </w:r>
      <w:r w:rsidR="005F6082">
        <w:rPr>
          <w:rFonts w:ascii="Arial" w:hAnsi="Arial"/>
          <w:sz w:val="22"/>
        </w:rPr>
        <w:t xml:space="preserve"> or HRA for </w:t>
      </w:r>
      <w:r w:rsidR="00BD7596">
        <w:rPr>
          <w:rFonts w:ascii="Arial" w:hAnsi="Arial"/>
          <w:sz w:val="22"/>
        </w:rPr>
        <w:t>HTC</w:t>
      </w:r>
      <w:r w:rsidR="00795808">
        <w:rPr>
          <w:rFonts w:ascii="Arial" w:hAnsi="Arial"/>
          <w:sz w:val="22"/>
        </w:rPr>
        <w:t xml:space="preserve"> must meet Sections </w:t>
      </w:r>
      <w:r w:rsidR="005F6082">
        <w:rPr>
          <w:rFonts w:ascii="Arial" w:hAnsi="Arial"/>
          <w:sz w:val="22"/>
        </w:rPr>
        <w:t>A-C below before moving t</w:t>
      </w:r>
      <w:r w:rsidR="00795808">
        <w:rPr>
          <w:rFonts w:ascii="Arial" w:hAnsi="Arial"/>
          <w:sz w:val="22"/>
        </w:rPr>
        <w:t>o the Selection Priorities (Section</w:t>
      </w:r>
      <w:r w:rsidR="005F6082">
        <w:rPr>
          <w:rFonts w:ascii="Arial" w:hAnsi="Arial"/>
          <w:sz w:val="22"/>
        </w:rPr>
        <w:t xml:space="preserve"> D below).</w:t>
      </w:r>
    </w:p>
    <w:p w:rsidR="005F6082" w:rsidRPr="00E03091" w:rsidRDefault="005F6082" w:rsidP="003A14BA">
      <w:pPr>
        <w:pStyle w:val="Heading2"/>
        <w:ind w:left="720"/>
        <w:rPr>
          <w:rFonts w:ascii="Arial" w:hAnsi="Arial"/>
          <w:i w:val="0"/>
          <w:sz w:val="22"/>
        </w:rPr>
      </w:pPr>
      <w:bookmarkStart w:id="47" w:name="_Toc511903025"/>
      <w:r w:rsidRPr="00E03091">
        <w:rPr>
          <w:rFonts w:ascii="Arial" w:hAnsi="Arial"/>
          <w:i w:val="0"/>
          <w:sz w:val="22"/>
        </w:rPr>
        <w:t>A.</w:t>
      </w:r>
      <w:r w:rsidRPr="00E03091">
        <w:rPr>
          <w:rFonts w:ascii="Arial" w:hAnsi="Arial"/>
          <w:i w:val="0"/>
          <w:sz w:val="22"/>
        </w:rPr>
        <w:tab/>
        <w:t>Threshold Requirements</w:t>
      </w:r>
      <w:r w:rsidRPr="00E03091">
        <w:rPr>
          <w:rFonts w:ascii="Arial" w:hAnsi="Arial"/>
          <w:i w:val="0"/>
          <w:sz w:val="22"/>
        </w:rPr>
        <w:fldChar w:fldCharType="begin"/>
      </w:r>
      <w:r w:rsidRPr="00E03091">
        <w:rPr>
          <w:rFonts w:ascii="Arial" w:hAnsi="Arial"/>
          <w:i w:val="0"/>
          <w:sz w:val="22"/>
        </w:rPr>
        <w:instrText>tc \l2 "A.</w:instrText>
      </w:r>
      <w:r w:rsidRPr="00E03091">
        <w:rPr>
          <w:rFonts w:ascii="Arial" w:hAnsi="Arial"/>
          <w:i w:val="0"/>
          <w:sz w:val="22"/>
        </w:rPr>
        <w:tab/>
        <w:instrText>Threshold Requirements</w:instrText>
      </w:r>
      <w:r w:rsidRPr="00E03091">
        <w:rPr>
          <w:rFonts w:ascii="Arial" w:hAnsi="Arial"/>
          <w:i w:val="0"/>
          <w:sz w:val="22"/>
        </w:rPr>
        <w:fldChar w:fldCharType="end"/>
      </w:r>
      <w:bookmarkEnd w:id="47"/>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will determine whether the project meets the minimum th</w:t>
      </w:r>
      <w:r w:rsidR="00492323">
        <w:rPr>
          <w:rFonts w:ascii="Arial" w:hAnsi="Arial"/>
          <w:sz w:val="22"/>
        </w:rPr>
        <w:t>reshold requirements as set forth</w:t>
      </w:r>
      <w:r w:rsidR="005F6082">
        <w:rPr>
          <w:rFonts w:ascii="Arial" w:hAnsi="Arial"/>
          <w:sz w:val="22"/>
        </w:rPr>
        <w:t xml:space="preserve"> in the </w:t>
      </w:r>
      <w:r w:rsidR="00BD65C7">
        <w:rPr>
          <w:rFonts w:ascii="Arial" w:hAnsi="Arial"/>
          <w:sz w:val="22"/>
        </w:rPr>
        <w:t>QAP</w:t>
      </w:r>
      <w:r w:rsidR="005F6082">
        <w:rPr>
          <w:rFonts w:ascii="Arial" w:hAnsi="Arial"/>
          <w:sz w:val="22"/>
        </w:rPr>
        <w:t>.</w:t>
      </w:r>
    </w:p>
    <w:p w:rsidR="005F6082" w:rsidRPr="00E03091" w:rsidRDefault="005F6082" w:rsidP="003A14BA">
      <w:pPr>
        <w:pStyle w:val="Heading2"/>
        <w:ind w:left="720"/>
        <w:rPr>
          <w:rFonts w:ascii="Arial" w:hAnsi="Arial"/>
          <w:i w:val="0"/>
          <w:sz w:val="22"/>
        </w:rPr>
      </w:pPr>
      <w:bookmarkStart w:id="48" w:name="_Toc511903026"/>
      <w:r w:rsidRPr="00E03091">
        <w:rPr>
          <w:rFonts w:ascii="Arial" w:hAnsi="Arial"/>
          <w:i w:val="0"/>
          <w:sz w:val="22"/>
        </w:rPr>
        <w:lastRenderedPageBreak/>
        <w:t>B.</w:t>
      </w:r>
      <w:r w:rsidRPr="00E03091">
        <w:rPr>
          <w:rFonts w:ascii="Arial" w:hAnsi="Arial"/>
          <w:i w:val="0"/>
          <w:sz w:val="22"/>
        </w:rPr>
        <w:tab/>
        <w:t>Market Review</w:t>
      </w:r>
      <w:r w:rsidRPr="00E03091">
        <w:rPr>
          <w:rFonts w:ascii="Arial" w:hAnsi="Arial"/>
          <w:i w:val="0"/>
          <w:sz w:val="22"/>
        </w:rPr>
        <w:fldChar w:fldCharType="begin"/>
      </w:r>
      <w:r w:rsidRPr="00E03091">
        <w:rPr>
          <w:rFonts w:ascii="Arial" w:hAnsi="Arial"/>
          <w:i w:val="0"/>
          <w:sz w:val="22"/>
        </w:rPr>
        <w:instrText>tc \l2 "B.</w:instrText>
      </w:r>
      <w:r w:rsidRPr="00E03091">
        <w:rPr>
          <w:rFonts w:ascii="Arial" w:hAnsi="Arial"/>
          <w:i w:val="0"/>
          <w:sz w:val="22"/>
        </w:rPr>
        <w:tab/>
        <w:instrText>Market Review</w:instrText>
      </w:r>
      <w:r w:rsidRPr="00E03091">
        <w:rPr>
          <w:rFonts w:ascii="Arial" w:hAnsi="Arial"/>
          <w:i w:val="0"/>
          <w:sz w:val="22"/>
        </w:rPr>
        <w:fldChar w:fldCharType="end"/>
      </w:r>
      <w:bookmarkEnd w:id="48"/>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4938D5" w:rsidRDefault="00350A65" w:rsidP="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shall require the applicant to </w:t>
      </w:r>
      <w:r w:rsidR="00795808">
        <w:rPr>
          <w:rFonts w:ascii="Arial" w:hAnsi="Arial"/>
          <w:sz w:val="22"/>
        </w:rPr>
        <w:t xml:space="preserve">submit </w:t>
      </w:r>
      <w:r w:rsidR="00600022">
        <w:rPr>
          <w:rFonts w:ascii="Arial" w:hAnsi="Arial"/>
          <w:sz w:val="22"/>
        </w:rPr>
        <w:t>a comprehensive market study</w:t>
      </w:r>
      <w:r w:rsidR="005F6082">
        <w:rPr>
          <w:rFonts w:ascii="Arial" w:hAnsi="Arial"/>
          <w:sz w:val="22"/>
        </w:rPr>
        <w:t xml:space="preserve"> of the housing needs of low-income individuals in the area to be served by the project.  This review must be conducted before the </w:t>
      </w:r>
      <w:r w:rsidR="00BD65C7">
        <w:rPr>
          <w:rFonts w:ascii="Arial" w:hAnsi="Arial"/>
          <w:sz w:val="22"/>
        </w:rPr>
        <w:t>issuances of the</w:t>
      </w:r>
      <w:r w:rsidR="005F78E4">
        <w:rPr>
          <w:rFonts w:ascii="Arial" w:hAnsi="Arial"/>
          <w:sz w:val="22"/>
        </w:rPr>
        <w:t xml:space="preserve"> Carryover</w:t>
      </w:r>
      <w:r w:rsidR="00BD65C7">
        <w:rPr>
          <w:rFonts w:ascii="Arial" w:hAnsi="Arial"/>
          <w:sz w:val="22"/>
        </w:rPr>
        <w:t xml:space="preserve"> </w:t>
      </w:r>
      <w:r w:rsidR="00492323">
        <w:rPr>
          <w:rFonts w:ascii="Arial" w:hAnsi="Arial"/>
          <w:sz w:val="22"/>
        </w:rPr>
        <w:t>Allocation</w:t>
      </w:r>
      <w:r w:rsidR="00076B79">
        <w:rPr>
          <w:rFonts w:ascii="Arial" w:hAnsi="Arial"/>
          <w:sz w:val="22"/>
        </w:rPr>
        <w:t xml:space="preserve"> </w:t>
      </w:r>
      <w:r w:rsidR="00AA164F">
        <w:rPr>
          <w:rFonts w:ascii="Arial" w:hAnsi="Arial"/>
          <w:sz w:val="22"/>
        </w:rPr>
        <w:t>and at</w:t>
      </w:r>
      <w:r w:rsidR="00076B79">
        <w:rPr>
          <w:rFonts w:ascii="Arial" w:hAnsi="Arial"/>
          <w:sz w:val="22"/>
        </w:rPr>
        <w:t xml:space="preserve"> the developer’s expense by an unrelated</w:t>
      </w:r>
      <w:r w:rsidR="00BD65C7">
        <w:rPr>
          <w:rFonts w:ascii="Arial" w:hAnsi="Arial"/>
          <w:sz w:val="22"/>
        </w:rPr>
        <w:t xml:space="preserve"> third party acceptable to</w:t>
      </w:r>
      <w:r w:rsidR="005F6082">
        <w:rPr>
          <w:rFonts w:ascii="Arial" w:hAnsi="Arial"/>
          <w:sz w:val="22"/>
        </w:rPr>
        <w:t xml:space="preserve"> HRA or </w:t>
      </w:r>
      <w:r w:rsidR="00894290">
        <w:rPr>
          <w:rFonts w:ascii="Arial" w:hAnsi="Arial"/>
          <w:sz w:val="22"/>
        </w:rPr>
        <w:t xml:space="preserve">CPED </w:t>
      </w:r>
      <w:r w:rsidR="005F6082">
        <w:rPr>
          <w:rFonts w:ascii="Arial" w:hAnsi="Arial"/>
          <w:sz w:val="22"/>
        </w:rPr>
        <w:t>staff.</w:t>
      </w:r>
      <w:r w:rsidR="00C71564">
        <w:rPr>
          <w:rFonts w:ascii="Arial" w:hAnsi="Arial"/>
          <w:sz w:val="22"/>
        </w:rPr>
        <w:t xml:space="preserve">  At a minimum, such</w:t>
      </w:r>
      <w:r w:rsidR="004938D5">
        <w:rPr>
          <w:rFonts w:ascii="Arial" w:hAnsi="Arial"/>
          <w:sz w:val="22"/>
        </w:rPr>
        <w:t xml:space="preserve"> comprehensive market study shall include the following:</w:t>
      </w:r>
    </w:p>
    <w:p w:rsidR="00A52F20" w:rsidRDefault="00A52F20" w:rsidP="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4938D5" w:rsidRPr="00A52F20">
        <w:rPr>
          <w:rFonts w:ascii="Arial" w:hAnsi="Arial" w:cs="Arial"/>
          <w:sz w:val="22"/>
          <w:szCs w:val="22"/>
        </w:rPr>
        <w:t xml:space="preserve">A statement of the competence of the market study provider, detailing education and experience of primary author and including a statement of non-interest. </w:t>
      </w:r>
    </w:p>
    <w:p w:rsidR="00513235"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4938D5" w:rsidRPr="00A52F20">
        <w:rPr>
          <w:rFonts w:ascii="Arial" w:hAnsi="Arial" w:cs="Arial"/>
          <w:sz w:val="22"/>
          <w:szCs w:val="22"/>
        </w:rPr>
        <w:t xml:space="preserve">Signature of preparer(s) and date the study was completed. </w:t>
      </w:r>
    </w:p>
    <w:p w:rsidR="00513235"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4938D5" w:rsidRPr="00A52F20">
        <w:rPr>
          <w:rFonts w:ascii="Arial" w:hAnsi="Arial" w:cs="Arial"/>
          <w:sz w:val="22"/>
          <w:szCs w:val="22"/>
        </w:rPr>
        <w:t xml:space="preserve">Description of the proposed site and neighborhood, including physical attributes of site, surrounding land uses, and proximity to community amenities or neighborhood features including shopping, healthcare, schools, and transportation.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4938D5" w:rsidRPr="00A52F20">
        <w:rPr>
          <w:rFonts w:ascii="Arial" w:hAnsi="Arial" w:cs="Arial"/>
          <w:sz w:val="22"/>
          <w:szCs w:val="22"/>
        </w:rPr>
        <w:t xml:space="preserve"> A map and photos of the subject site and surroundings showing location of community services.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4938D5" w:rsidRPr="00A52F20">
        <w:rPr>
          <w:rFonts w:ascii="Arial" w:hAnsi="Arial" w:cs="Arial"/>
          <w:sz w:val="22"/>
          <w:szCs w:val="22"/>
        </w:rPr>
        <w:t xml:space="preserve">A description of the proposed development, detailing proposed unit mix (number of bedrooms, bathrooms, square footage, proposed rents, AMI level, utility allowances, and any utilities included in rent), proposed unit features and community amenities, and target population including age restrictions and/or special needs populations.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4938D5" w:rsidRPr="00A52F20">
        <w:rPr>
          <w:rFonts w:ascii="Arial" w:hAnsi="Arial" w:cs="Arial"/>
          <w:sz w:val="22"/>
          <w:szCs w:val="22"/>
        </w:rPr>
        <w:t xml:space="preserve">Demographic analysis of the number of eligible households in the market area that are part of the target market, income eligible, and can afford the proposed rent.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7</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 xml:space="preserve">Analysis of household sizes and types in the market area, including households by tenure, income, and persons per household.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4938D5" w:rsidRPr="00A52F20">
        <w:rPr>
          <w:rFonts w:ascii="Arial" w:hAnsi="Arial" w:cs="Arial"/>
          <w:sz w:val="22"/>
          <w:szCs w:val="22"/>
        </w:rPr>
        <w:t>A description of rent levels and occupancy rates in existing comparable developments in the market area, segmented by property type and with rents adjusted to account for utility differences and concessions or other incentives. Such description should include all existi</w:t>
      </w:r>
      <w:r w:rsidR="00A52F20">
        <w:rPr>
          <w:rFonts w:ascii="Arial" w:hAnsi="Arial" w:cs="Arial"/>
          <w:sz w:val="22"/>
          <w:szCs w:val="22"/>
        </w:rPr>
        <w:t xml:space="preserve">ng </w:t>
      </w:r>
      <w:r w:rsidR="004938D5" w:rsidRPr="00A52F20">
        <w:rPr>
          <w:rFonts w:ascii="Arial" w:hAnsi="Arial" w:cs="Arial"/>
          <w:sz w:val="22"/>
          <w:szCs w:val="22"/>
        </w:rPr>
        <w:t>HTC developments in the primary market area and any planned additions to the rental housing stock, in</w:t>
      </w:r>
      <w:r w:rsidR="00A52F20">
        <w:rPr>
          <w:rFonts w:ascii="Arial" w:hAnsi="Arial" w:cs="Arial"/>
          <w:sz w:val="22"/>
          <w:szCs w:val="22"/>
        </w:rPr>
        <w:t xml:space="preserve">cluding any recently approved </w:t>
      </w:r>
      <w:r w:rsidR="004938D5" w:rsidRPr="00A52F20">
        <w:rPr>
          <w:rFonts w:ascii="Arial" w:hAnsi="Arial" w:cs="Arial"/>
          <w:sz w:val="22"/>
          <w:szCs w:val="22"/>
        </w:rPr>
        <w:t xml:space="preserve">HTC developments.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4938D5" w:rsidRPr="00A52F20">
        <w:rPr>
          <w:rFonts w:ascii="Arial" w:hAnsi="Arial" w:cs="Arial"/>
          <w:sz w:val="22"/>
          <w:szCs w:val="22"/>
        </w:rPr>
        <w:t xml:space="preserve">Review of population characteristics and projected trends.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10</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 xml:space="preserve">Review of employment and economic development characteristics, including a list of major employers and labor force employment and unemployment trends over the past 5-10 years. </w:t>
      </w:r>
    </w:p>
    <w:p w:rsidR="00C71564" w:rsidRPr="00A52F20" w:rsidRDefault="00513235" w:rsidP="00513235">
      <w:pPr>
        <w:pStyle w:val="Default"/>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11</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Geographic definition and analysis of market area, including a description of methodology used to define market area and map of market area including proposed site.</w:t>
      </w:r>
    </w:p>
    <w:p w:rsidR="004938D5" w:rsidRPr="00A52F20" w:rsidRDefault="004938D5" w:rsidP="00513235">
      <w:pPr>
        <w:pStyle w:val="Default"/>
        <w:ind w:left="2160" w:hanging="720"/>
        <w:jc w:val="both"/>
        <w:rPr>
          <w:rFonts w:ascii="Arial" w:hAnsi="Arial" w:cs="Arial"/>
          <w:sz w:val="22"/>
          <w:szCs w:val="22"/>
        </w:rPr>
      </w:pPr>
      <w:r w:rsidRPr="00A52F20">
        <w:rPr>
          <w:rFonts w:ascii="Arial" w:hAnsi="Arial" w:cs="Arial"/>
          <w:sz w:val="22"/>
          <w:szCs w:val="22"/>
        </w:rPr>
        <w:t xml:space="preserve">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lastRenderedPageBreak/>
        <w:t>(</w:t>
      </w:r>
      <w:r w:rsidR="004938D5" w:rsidRPr="00A52F20">
        <w:rPr>
          <w:rFonts w:ascii="Arial" w:hAnsi="Arial" w:cs="Arial"/>
          <w:sz w:val="22"/>
          <w:szCs w:val="22"/>
        </w:rPr>
        <w:t>12</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 xml:space="preserve">Analysis of operating expenses of comparable properties in the market area.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w:t>
      </w:r>
      <w:r w:rsidR="00C71564" w:rsidRPr="00A52F20">
        <w:rPr>
          <w:rFonts w:ascii="Arial" w:hAnsi="Arial" w:cs="Arial"/>
          <w:sz w:val="22"/>
          <w:szCs w:val="22"/>
        </w:rPr>
        <w:t>13</w:t>
      </w:r>
      <w:r>
        <w:rPr>
          <w:rFonts w:ascii="Arial" w:hAnsi="Arial" w:cs="Arial"/>
          <w:sz w:val="22"/>
          <w:szCs w:val="22"/>
        </w:rPr>
        <w:t>)</w:t>
      </w:r>
      <w:r w:rsidR="00C71564" w:rsidRPr="00A52F20">
        <w:rPr>
          <w:rFonts w:ascii="Arial" w:hAnsi="Arial" w:cs="Arial"/>
          <w:sz w:val="22"/>
          <w:szCs w:val="22"/>
        </w:rPr>
        <w:t xml:space="preserve"> </w:t>
      </w:r>
      <w:r w:rsidR="005E4292">
        <w:rPr>
          <w:rFonts w:ascii="Arial" w:hAnsi="Arial" w:cs="Arial"/>
          <w:sz w:val="22"/>
          <w:szCs w:val="22"/>
        </w:rPr>
        <w:t xml:space="preserve"> </w:t>
      </w:r>
      <w:r w:rsidR="004938D5" w:rsidRPr="00A52F20">
        <w:rPr>
          <w:rFonts w:ascii="Arial" w:hAnsi="Arial" w:cs="Arial"/>
          <w:sz w:val="22"/>
          <w:szCs w:val="22"/>
        </w:rPr>
        <w:t xml:space="preserve">Expected market absorption of proposed development, including capture/penetration rate analysis of target populations.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14</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 xml:space="preserve">A description of the effect on the market area, including the impact on </w:t>
      </w:r>
      <w:r w:rsidR="00BD7596">
        <w:rPr>
          <w:rFonts w:ascii="Arial" w:hAnsi="Arial" w:cs="Arial"/>
          <w:sz w:val="22"/>
          <w:szCs w:val="22"/>
        </w:rPr>
        <w:t>HTC</w:t>
      </w:r>
      <w:r w:rsidR="004938D5" w:rsidRPr="00A52F20">
        <w:rPr>
          <w:rFonts w:ascii="Arial" w:hAnsi="Arial" w:cs="Arial"/>
          <w:sz w:val="22"/>
          <w:szCs w:val="22"/>
        </w:rPr>
        <w:t xml:space="preserve"> and other existing affordable rental housing. </w:t>
      </w:r>
    </w:p>
    <w:p w:rsidR="004938D5" w:rsidRPr="00A52F20" w:rsidRDefault="00513235" w:rsidP="00513235">
      <w:pPr>
        <w:pStyle w:val="Default"/>
        <w:spacing w:after="162"/>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15</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 xml:space="preserve">Indicate whether or not the proposed development meets the identified housing needs of the community’s overall housing plan. </w:t>
      </w:r>
    </w:p>
    <w:p w:rsidR="004938D5" w:rsidRPr="00A52F20" w:rsidRDefault="00513235" w:rsidP="00513235">
      <w:pPr>
        <w:pStyle w:val="Default"/>
        <w:ind w:left="2160" w:hanging="720"/>
        <w:jc w:val="both"/>
        <w:rPr>
          <w:rFonts w:ascii="Arial" w:hAnsi="Arial" w:cs="Arial"/>
          <w:sz w:val="22"/>
          <w:szCs w:val="22"/>
        </w:rPr>
      </w:pPr>
      <w:r>
        <w:rPr>
          <w:rFonts w:ascii="Arial" w:hAnsi="Arial" w:cs="Arial"/>
          <w:sz w:val="22"/>
          <w:szCs w:val="22"/>
        </w:rPr>
        <w:t>(</w:t>
      </w:r>
      <w:r w:rsidR="004938D5" w:rsidRPr="00A52F20">
        <w:rPr>
          <w:rFonts w:ascii="Arial" w:hAnsi="Arial" w:cs="Arial"/>
          <w:sz w:val="22"/>
          <w:szCs w:val="22"/>
        </w:rPr>
        <w:t>16</w:t>
      </w:r>
      <w:r>
        <w:rPr>
          <w:rFonts w:ascii="Arial" w:hAnsi="Arial" w:cs="Arial"/>
          <w:sz w:val="22"/>
          <w:szCs w:val="22"/>
        </w:rPr>
        <w:t>)</w:t>
      </w:r>
      <w:r>
        <w:rPr>
          <w:rFonts w:ascii="Arial" w:hAnsi="Arial" w:cs="Arial"/>
          <w:sz w:val="22"/>
          <w:szCs w:val="22"/>
        </w:rPr>
        <w:tab/>
      </w:r>
      <w:r w:rsidR="004938D5" w:rsidRPr="00A52F20">
        <w:rPr>
          <w:rFonts w:ascii="Arial" w:hAnsi="Arial" w:cs="Arial"/>
          <w:sz w:val="22"/>
          <w:szCs w:val="22"/>
        </w:rPr>
        <w:t>A written narrative on the assumptions and methods used in the market study, including data sources.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rsidP="00C7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may also require an independent market study to determine the financial feasibility of the proposed project.  </w:t>
      </w:r>
      <w:r>
        <w:rPr>
          <w:rFonts w:ascii="Arial" w:hAnsi="Arial"/>
          <w:sz w:val="22"/>
        </w:rPr>
        <w:t>CPED</w:t>
      </w:r>
      <w:r w:rsidR="005F6082">
        <w:rPr>
          <w:rFonts w:ascii="Arial" w:hAnsi="Arial"/>
          <w:sz w:val="22"/>
        </w:rPr>
        <w:t xml:space="preserve"> or HRA will contact the applicant if there is a question as to the marketability of the proposed project.  The applicant will be given an opportunity to adjust the unit mix and/or number and resubmit prior to </w:t>
      </w:r>
      <w:r>
        <w:rPr>
          <w:rFonts w:ascii="Arial" w:hAnsi="Arial"/>
          <w:sz w:val="22"/>
        </w:rPr>
        <w:t>CPED</w:t>
      </w:r>
      <w:r w:rsidR="005F6082">
        <w:rPr>
          <w:rFonts w:ascii="Arial" w:hAnsi="Arial"/>
          <w:sz w:val="22"/>
        </w:rPr>
        <w:t xml:space="preserve"> or HRA scoring of selection priority points.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may require that the applicant submit a current appraisal following selection of a project for a </w:t>
      </w:r>
      <w:r w:rsidR="00BC2AA8">
        <w:rPr>
          <w:rFonts w:ascii="Arial" w:hAnsi="Arial"/>
          <w:sz w:val="22"/>
        </w:rPr>
        <w:t xml:space="preserve">HTC </w:t>
      </w:r>
      <w:r w:rsidR="00076B79">
        <w:rPr>
          <w:rFonts w:ascii="Arial" w:hAnsi="Arial"/>
          <w:sz w:val="22"/>
        </w:rPr>
        <w:t xml:space="preserve">Reservation </w:t>
      </w:r>
      <w:r w:rsidR="005F6082">
        <w:rPr>
          <w:rFonts w:ascii="Arial" w:hAnsi="Arial"/>
          <w:sz w:val="22"/>
        </w:rPr>
        <w:t xml:space="preserve">in the event </w:t>
      </w:r>
      <w:r>
        <w:rPr>
          <w:rFonts w:ascii="Arial" w:hAnsi="Arial"/>
          <w:sz w:val="22"/>
        </w:rPr>
        <w:t>CPED</w:t>
      </w:r>
      <w:r w:rsidR="00076B79">
        <w:rPr>
          <w:rFonts w:ascii="Arial" w:hAnsi="Arial"/>
          <w:sz w:val="22"/>
        </w:rPr>
        <w:t xml:space="preserve"> or HRA determine that</w:t>
      </w:r>
      <w:r w:rsidR="005F6082">
        <w:rPr>
          <w:rFonts w:ascii="Arial" w:hAnsi="Arial"/>
          <w:sz w:val="22"/>
        </w:rPr>
        <w:t xml:space="preserve"> an appraisal is necessary to determine marketability or the approp</w:t>
      </w:r>
      <w:r w:rsidR="00076B79">
        <w:rPr>
          <w:rFonts w:ascii="Arial" w:hAnsi="Arial"/>
          <w:sz w:val="22"/>
        </w:rPr>
        <w:t>riate sale price for the project</w:t>
      </w:r>
      <w:r w:rsidR="005F6082">
        <w:rPr>
          <w:rFonts w:ascii="Arial" w:hAnsi="Arial"/>
          <w:sz w:val="22"/>
        </w:rPr>
        <w:t>.</w:t>
      </w:r>
      <w:r w:rsidR="00A52F20">
        <w:rPr>
          <w:rFonts w:ascii="Arial" w:hAnsi="Arial"/>
          <w:sz w:val="22"/>
        </w:rPr>
        <w:t xml:space="preserve">  Appraisals must be ordered by HRA, CPED or Minnesota Housing.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Proposed projects which do not appear marketable a</w:t>
      </w:r>
      <w:r w:rsidR="00602D0D">
        <w:rPr>
          <w:rFonts w:ascii="Arial" w:hAnsi="Arial"/>
          <w:sz w:val="22"/>
        </w:rPr>
        <w:t>nd do not modify their A</w:t>
      </w:r>
      <w:r w:rsidR="00076B79">
        <w:rPr>
          <w:rFonts w:ascii="Arial" w:hAnsi="Arial"/>
          <w:sz w:val="22"/>
        </w:rPr>
        <w:t xml:space="preserve">pplication </w:t>
      </w:r>
      <w:r>
        <w:rPr>
          <w:rFonts w:ascii="Arial" w:hAnsi="Arial"/>
          <w:sz w:val="22"/>
        </w:rPr>
        <w:t>will not receive further consideration.</w:t>
      </w:r>
    </w:p>
    <w:p w:rsidR="005F6082" w:rsidRPr="00E03091" w:rsidRDefault="005F6082" w:rsidP="003A14BA">
      <w:pPr>
        <w:pStyle w:val="Heading2"/>
        <w:ind w:left="720"/>
        <w:rPr>
          <w:rFonts w:ascii="Arial" w:hAnsi="Arial"/>
          <w:i w:val="0"/>
          <w:sz w:val="22"/>
        </w:rPr>
      </w:pPr>
      <w:bookmarkStart w:id="49" w:name="_Toc511903027"/>
      <w:r w:rsidRPr="00E03091">
        <w:rPr>
          <w:rFonts w:ascii="Arial" w:hAnsi="Arial"/>
          <w:i w:val="0"/>
          <w:sz w:val="22"/>
        </w:rPr>
        <w:t>C.</w:t>
      </w:r>
      <w:r w:rsidRPr="00E03091">
        <w:rPr>
          <w:rFonts w:ascii="Arial" w:hAnsi="Arial"/>
          <w:i w:val="0"/>
          <w:sz w:val="22"/>
        </w:rPr>
        <w:tab/>
        <w:t>Site Review</w:t>
      </w:r>
      <w:r w:rsidRPr="00E03091">
        <w:rPr>
          <w:rFonts w:ascii="Arial" w:hAnsi="Arial"/>
          <w:i w:val="0"/>
          <w:sz w:val="22"/>
        </w:rPr>
        <w:fldChar w:fldCharType="begin"/>
      </w:r>
      <w:r w:rsidRPr="00E03091">
        <w:rPr>
          <w:rFonts w:ascii="Arial" w:hAnsi="Arial"/>
          <w:i w:val="0"/>
          <w:sz w:val="22"/>
        </w:rPr>
        <w:instrText>tc \l2 "C.</w:instrText>
      </w:r>
      <w:r w:rsidRPr="00E03091">
        <w:rPr>
          <w:rFonts w:ascii="Arial" w:hAnsi="Arial"/>
          <w:i w:val="0"/>
          <w:sz w:val="22"/>
        </w:rPr>
        <w:tab/>
        <w:instrText>Site Review</w:instrText>
      </w:r>
      <w:r w:rsidRPr="00E03091">
        <w:rPr>
          <w:rFonts w:ascii="Arial" w:hAnsi="Arial"/>
          <w:i w:val="0"/>
          <w:sz w:val="22"/>
        </w:rPr>
        <w:fldChar w:fldCharType="end"/>
      </w:r>
      <w:bookmarkEnd w:id="49"/>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89429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staff will analyze the site for each project </w:t>
      </w:r>
      <w:r w:rsidR="00BC2AA8">
        <w:rPr>
          <w:rFonts w:ascii="Arial" w:hAnsi="Arial"/>
          <w:sz w:val="22"/>
        </w:rPr>
        <w:t>meeting the requirements of Sections</w:t>
      </w:r>
      <w:r w:rsidR="005F6082">
        <w:rPr>
          <w:rFonts w:ascii="Arial" w:hAnsi="Arial"/>
          <w:sz w:val="22"/>
        </w:rPr>
        <w:t xml:space="preserve"> A and B of the project selection criteria.  Site analysis will consider: physical characteristics, surrounding property and community, location of schools, shopping, public transportation, employment centers, and community facilities, availability of utilities, water and sewage treatment facilities, the suitabi</w:t>
      </w:r>
      <w:r w:rsidR="00076B79">
        <w:rPr>
          <w:rFonts w:ascii="Arial" w:hAnsi="Arial"/>
          <w:sz w:val="22"/>
        </w:rPr>
        <w:t xml:space="preserve">lity of the site for </w:t>
      </w:r>
      <w:r w:rsidR="00AA164F">
        <w:rPr>
          <w:rFonts w:ascii="Arial" w:hAnsi="Arial"/>
          <w:sz w:val="22"/>
        </w:rPr>
        <w:t>the project</w:t>
      </w:r>
      <w:r w:rsidR="005F6082">
        <w:rPr>
          <w:rFonts w:ascii="Arial" w:hAnsi="Arial"/>
          <w:sz w:val="22"/>
        </w:rPr>
        <w:t xml:space="preserve"> and other </w:t>
      </w:r>
      <w:r>
        <w:rPr>
          <w:rFonts w:ascii="Arial" w:hAnsi="Arial"/>
          <w:sz w:val="22"/>
        </w:rPr>
        <w:t>CPED</w:t>
      </w:r>
      <w:r w:rsidR="005F6082">
        <w:rPr>
          <w:rFonts w:ascii="Arial" w:hAnsi="Arial"/>
          <w:sz w:val="22"/>
        </w:rPr>
        <w:t xml:space="preserve"> or HRA standards.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BC2AA8">
        <w:rPr>
          <w:rFonts w:ascii="Arial" w:hAnsi="Arial"/>
          <w:sz w:val="22"/>
        </w:rPr>
        <w:t xml:space="preserve"> or HRA will consider</w:t>
      </w:r>
      <w:r w:rsidR="005F6082">
        <w:rPr>
          <w:rFonts w:ascii="Arial" w:hAnsi="Arial"/>
          <w:sz w:val="22"/>
        </w:rPr>
        <w:t>, but is not limited to, the following environmental criteria when evaluating a proposed site: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Noise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Flood plains and wetlands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Site safety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Toxic and hazardous waste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Underground storage tanks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Pr>
          <w:rFonts w:ascii="Arial" w:hAnsi="Arial"/>
          <w:sz w:val="22"/>
        </w:rPr>
        <w:tab/>
        <w:t>Asbestos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0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CPED</w:t>
      </w:r>
      <w:r w:rsidR="005F6082">
        <w:rPr>
          <w:rFonts w:ascii="Arial" w:hAnsi="Arial"/>
          <w:sz w:val="22"/>
        </w:rPr>
        <w:t xml:space="preserve"> or HRA may in their sole discretion reject projects on behalf of the Board, </w:t>
      </w:r>
      <w:r w:rsidR="005F78E4">
        <w:rPr>
          <w:rFonts w:ascii="Arial" w:hAnsi="Arial"/>
          <w:sz w:val="22"/>
        </w:rPr>
        <w:t>for A</w:t>
      </w:r>
      <w:r w:rsidR="005F6082">
        <w:rPr>
          <w:rFonts w:ascii="Arial" w:hAnsi="Arial"/>
          <w:sz w:val="22"/>
        </w:rPr>
        <w:t xml:space="preserve">pplications that appear unsuitable for the </w:t>
      </w:r>
      <w:r w:rsidR="00BC2AA8">
        <w:rPr>
          <w:rFonts w:ascii="Arial" w:hAnsi="Arial"/>
          <w:sz w:val="22"/>
        </w:rPr>
        <w:t>proposed project.</w:t>
      </w:r>
    </w:p>
    <w:p w:rsidR="005F6082" w:rsidRPr="00E03091" w:rsidRDefault="005F6082" w:rsidP="003A14BA">
      <w:pPr>
        <w:pStyle w:val="Heading2"/>
        <w:ind w:left="720"/>
        <w:rPr>
          <w:rFonts w:ascii="Arial" w:hAnsi="Arial"/>
          <w:i w:val="0"/>
          <w:sz w:val="22"/>
        </w:rPr>
      </w:pPr>
      <w:bookmarkStart w:id="50" w:name="_Toc511903028"/>
      <w:r w:rsidRPr="00E03091">
        <w:rPr>
          <w:rFonts w:ascii="Arial" w:hAnsi="Arial"/>
          <w:i w:val="0"/>
          <w:sz w:val="22"/>
        </w:rPr>
        <w:lastRenderedPageBreak/>
        <w:t>D.</w:t>
      </w:r>
      <w:r w:rsidRPr="00E03091">
        <w:rPr>
          <w:rFonts w:ascii="Arial" w:hAnsi="Arial"/>
          <w:i w:val="0"/>
          <w:sz w:val="22"/>
        </w:rPr>
        <w:tab/>
        <w:t>Selection Priorities</w:t>
      </w:r>
      <w:r w:rsidRPr="00E03091">
        <w:rPr>
          <w:rFonts w:ascii="Arial" w:hAnsi="Arial"/>
          <w:i w:val="0"/>
          <w:sz w:val="22"/>
        </w:rPr>
        <w:fldChar w:fldCharType="begin"/>
      </w:r>
      <w:r w:rsidRPr="00E03091">
        <w:rPr>
          <w:rFonts w:ascii="Arial" w:hAnsi="Arial"/>
          <w:i w:val="0"/>
          <w:sz w:val="22"/>
        </w:rPr>
        <w:instrText>tc \l2 "D.</w:instrText>
      </w:r>
      <w:r w:rsidRPr="00E03091">
        <w:rPr>
          <w:rFonts w:ascii="Arial" w:hAnsi="Arial"/>
          <w:i w:val="0"/>
          <w:sz w:val="22"/>
        </w:rPr>
        <w:tab/>
        <w:instrText>Selection Priorities</w:instrText>
      </w:r>
      <w:r w:rsidRPr="00E03091">
        <w:rPr>
          <w:rFonts w:ascii="Arial" w:hAnsi="Arial"/>
          <w:i w:val="0"/>
          <w:sz w:val="22"/>
        </w:rPr>
        <w:fldChar w:fldCharType="end"/>
      </w:r>
      <w:bookmarkEnd w:id="50"/>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Upon completio</w:t>
      </w:r>
      <w:r w:rsidR="00BC2AA8">
        <w:rPr>
          <w:rFonts w:ascii="Arial" w:hAnsi="Arial"/>
          <w:sz w:val="22"/>
        </w:rPr>
        <w:t xml:space="preserve">n </w:t>
      </w:r>
      <w:r w:rsidR="00B44BD9">
        <w:rPr>
          <w:rFonts w:ascii="Arial" w:hAnsi="Arial"/>
          <w:sz w:val="22"/>
        </w:rPr>
        <w:t>of Sections</w:t>
      </w:r>
      <w:r w:rsidR="00BC2AA8">
        <w:rPr>
          <w:rFonts w:ascii="Arial" w:hAnsi="Arial"/>
          <w:sz w:val="22"/>
        </w:rPr>
        <w:t xml:space="preserve"> </w:t>
      </w:r>
      <w:r w:rsidR="00E95873">
        <w:rPr>
          <w:rFonts w:ascii="Arial" w:hAnsi="Arial"/>
          <w:sz w:val="22"/>
        </w:rPr>
        <w:t>A, B and C, an A</w:t>
      </w:r>
      <w:r>
        <w:rPr>
          <w:rFonts w:ascii="Arial" w:hAnsi="Arial"/>
          <w:sz w:val="22"/>
        </w:rPr>
        <w:t xml:space="preserve">pplication </w:t>
      </w:r>
      <w:r w:rsidR="00600022">
        <w:rPr>
          <w:rFonts w:ascii="Arial" w:hAnsi="Arial"/>
          <w:sz w:val="22"/>
        </w:rPr>
        <w:t xml:space="preserve">will </w:t>
      </w:r>
      <w:r>
        <w:rPr>
          <w:rFonts w:ascii="Arial" w:hAnsi="Arial"/>
          <w:sz w:val="22"/>
        </w:rPr>
        <w:t xml:space="preserve">then be ranked according to the points awarded for the selection priorities and the preference priorities set forth in the </w:t>
      </w:r>
      <w:r w:rsidR="00A52F20">
        <w:rPr>
          <w:rFonts w:ascii="Arial" w:hAnsi="Arial"/>
          <w:sz w:val="22"/>
        </w:rPr>
        <w:t>QAP</w:t>
      </w:r>
      <w:r>
        <w:rPr>
          <w:rFonts w:ascii="Arial" w:hAnsi="Arial"/>
          <w:sz w:val="22"/>
        </w:rPr>
        <w:t>.</w:t>
      </w:r>
    </w:p>
    <w:p w:rsidR="00137B46" w:rsidRPr="00E03091" w:rsidRDefault="00137B46" w:rsidP="002C5BB9">
      <w:pPr>
        <w:pStyle w:val="Heading2"/>
        <w:numPr>
          <w:ilvl w:val="0"/>
          <w:numId w:val="12"/>
        </w:numPr>
        <w:ind w:hanging="720"/>
        <w:rPr>
          <w:rFonts w:ascii="Arial" w:hAnsi="Arial"/>
          <w:i w:val="0"/>
          <w:sz w:val="22"/>
        </w:rPr>
      </w:pPr>
      <w:bookmarkStart w:id="51" w:name="_Toc511903029"/>
      <w:r w:rsidRPr="00E03091">
        <w:rPr>
          <w:rFonts w:ascii="Arial" w:hAnsi="Arial"/>
          <w:i w:val="0"/>
          <w:sz w:val="22"/>
        </w:rPr>
        <w:t>Management Review</w:t>
      </w:r>
      <w:bookmarkEnd w:id="51"/>
    </w:p>
    <w:p w:rsidR="00137B46" w:rsidRDefault="00137B46" w:rsidP="00137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137B46" w:rsidRDefault="00BC2AA8" w:rsidP="00137B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S</w:t>
      </w:r>
      <w:r w:rsidR="00137B46">
        <w:rPr>
          <w:rFonts w:ascii="Arial" w:hAnsi="Arial"/>
          <w:sz w:val="22"/>
        </w:rPr>
        <w:t xml:space="preserve">ignificant </w:t>
      </w:r>
      <w:r>
        <w:rPr>
          <w:rFonts w:ascii="Arial" w:hAnsi="Arial"/>
          <w:sz w:val="22"/>
        </w:rPr>
        <w:t>P</w:t>
      </w:r>
      <w:r w:rsidR="00137B46">
        <w:rPr>
          <w:rFonts w:ascii="Arial" w:hAnsi="Arial"/>
          <w:sz w:val="22"/>
        </w:rPr>
        <w:t>arties who have serious and persistent compliance monitoring violations</w:t>
      </w:r>
      <w:r w:rsidR="00CE5ED2">
        <w:rPr>
          <w:rFonts w:ascii="Arial" w:hAnsi="Arial"/>
          <w:sz w:val="22"/>
        </w:rPr>
        <w:t xml:space="preserve"> may be declared ineligibl</w:t>
      </w:r>
      <w:r w:rsidR="00B44BD9">
        <w:rPr>
          <w:rFonts w:ascii="Arial" w:hAnsi="Arial"/>
          <w:sz w:val="22"/>
        </w:rPr>
        <w:t xml:space="preserve">e at the sole discretion of </w:t>
      </w:r>
      <w:r w:rsidR="00CE5ED2">
        <w:rPr>
          <w:rFonts w:ascii="Arial" w:hAnsi="Arial"/>
          <w:sz w:val="22"/>
        </w:rPr>
        <w:t>HRA</w:t>
      </w:r>
      <w:r w:rsidR="00B44BD9">
        <w:rPr>
          <w:rFonts w:ascii="Arial" w:hAnsi="Arial"/>
          <w:sz w:val="22"/>
        </w:rPr>
        <w:t>’s</w:t>
      </w:r>
      <w:r w:rsidR="00CE5ED2">
        <w:rPr>
          <w:rFonts w:ascii="Arial" w:hAnsi="Arial"/>
          <w:sz w:val="22"/>
        </w:rPr>
        <w:t xml:space="preserve"> Board of Commissioners</w:t>
      </w:r>
      <w:r w:rsidR="00137B46">
        <w:rPr>
          <w:rFonts w:ascii="Arial" w:hAnsi="Arial"/>
          <w:sz w:val="22"/>
        </w:rPr>
        <w:t>.</w:t>
      </w:r>
      <w:r w:rsidR="00CE5ED2">
        <w:rPr>
          <w:rFonts w:ascii="Arial" w:hAnsi="Arial"/>
          <w:sz w:val="22"/>
        </w:rPr>
        <w:t xml:space="preserve">  HRA staff will review th</w:t>
      </w:r>
      <w:r w:rsidR="00B44BD9">
        <w:rPr>
          <w:rFonts w:ascii="Arial" w:hAnsi="Arial"/>
          <w:sz w:val="22"/>
        </w:rPr>
        <w:t xml:space="preserve">e compliance history of past and </w:t>
      </w:r>
      <w:r w:rsidR="00A52F20">
        <w:rPr>
          <w:rFonts w:ascii="Arial" w:hAnsi="Arial"/>
          <w:sz w:val="22"/>
        </w:rPr>
        <w:t xml:space="preserve">existing </w:t>
      </w:r>
      <w:r w:rsidR="00CE5ED2">
        <w:rPr>
          <w:rFonts w:ascii="Arial" w:hAnsi="Arial"/>
          <w:sz w:val="22"/>
        </w:rPr>
        <w:t xml:space="preserve">HTC projects in which the applicant has served as general partner or management agent prior to making a recommendation on the allocation of </w:t>
      </w:r>
      <w:r>
        <w:rPr>
          <w:rFonts w:ascii="Arial" w:hAnsi="Arial"/>
          <w:sz w:val="22"/>
        </w:rPr>
        <w:t xml:space="preserve">HTC </w:t>
      </w:r>
      <w:r w:rsidR="00B44BD9">
        <w:rPr>
          <w:rFonts w:ascii="Arial" w:hAnsi="Arial"/>
          <w:sz w:val="22"/>
        </w:rPr>
        <w:t xml:space="preserve">to </w:t>
      </w:r>
      <w:r w:rsidR="00CE5ED2">
        <w:rPr>
          <w:rFonts w:ascii="Arial" w:hAnsi="Arial"/>
          <w:sz w:val="22"/>
        </w:rPr>
        <w:t>HRA</w:t>
      </w:r>
      <w:r w:rsidR="00B44BD9">
        <w:rPr>
          <w:rFonts w:ascii="Arial" w:hAnsi="Arial"/>
          <w:sz w:val="22"/>
        </w:rPr>
        <w:t>’s</w:t>
      </w:r>
      <w:r w:rsidR="00CE5ED2">
        <w:rPr>
          <w:rFonts w:ascii="Arial" w:hAnsi="Arial"/>
          <w:sz w:val="22"/>
        </w:rPr>
        <w:t xml:space="preserve"> Board.</w:t>
      </w:r>
    </w:p>
    <w:p w:rsidR="0060083E" w:rsidRPr="00E03091" w:rsidRDefault="0060083E" w:rsidP="009945B8">
      <w:pPr>
        <w:pStyle w:val="Heading2"/>
        <w:keepNext w:val="0"/>
        <w:widowControl/>
        <w:spacing w:after="0"/>
        <w:ind w:left="720"/>
        <w:rPr>
          <w:rFonts w:ascii="Arial" w:hAnsi="Arial" w:cs="Arial"/>
          <w:i w:val="0"/>
          <w:sz w:val="22"/>
          <w:szCs w:val="22"/>
        </w:rPr>
      </w:pPr>
      <w:bookmarkStart w:id="52" w:name="_Toc511903030"/>
      <w:r w:rsidRPr="00E03091">
        <w:rPr>
          <w:rFonts w:ascii="Arial" w:hAnsi="Arial" w:cs="Arial"/>
          <w:i w:val="0"/>
          <w:sz w:val="22"/>
          <w:szCs w:val="22"/>
        </w:rPr>
        <w:t>F.</w:t>
      </w:r>
      <w:r w:rsidRPr="00E03091">
        <w:rPr>
          <w:rFonts w:ascii="Arial" w:hAnsi="Arial" w:cs="Arial"/>
          <w:i w:val="0"/>
          <w:sz w:val="22"/>
          <w:szCs w:val="22"/>
        </w:rPr>
        <w:tab/>
        <w:t>Compliance Agreement</w:t>
      </w:r>
      <w:bookmarkEnd w:id="52"/>
    </w:p>
    <w:p w:rsidR="0060083E" w:rsidRPr="0060083E" w:rsidRDefault="0060083E" w:rsidP="009945B8">
      <w:pPr>
        <w:widowControl/>
        <w:ind w:left="720" w:hanging="720"/>
        <w:rPr>
          <w:rFonts w:ascii="Arial" w:hAnsi="Arial" w:cs="Arial"/>
          <w:sz w:val="22"/>
          <w:szCs w:val="22"/>
        </w:rPr>
      </w:pPr>
    </w:p>
    <w:p w:rsidR="0060083E" w:rsidRDefault="0060083E" w:rsidP="009945B8">
      <w:pPr>
        <w:widowControl/>
        <w:ind w:left="1440"/>
        <w:jc w:val="both"/>
        <w:rPr>
          <w:rFonts w:ascii="Arial" w:hAnsi="Arial" w:cs="Arial"/>
        </w:rPr>
      </w:pPr>
      <w:r w:rsidRPr="0060083E">
        <w:rPr>
          <w:rFonts w:ascii="Arial" w:hAnsi="Arial" w:cs="Arial"/>
          <w:sz w:val="22"/>
          <w:szCs w:val="22"/>
        </w:rPr>
        <w:t>For Saint Paul projects</w:t>
      </w:r>
      <w:r w:rsidR="00BC2AA8">
        <w:rPr>
          <w:rFonts w:ascii="Arial" w:hAnsi="Arial" w:cs="Arial"/>
          <w:sz w:val="22"/>
          <w:szCs w:val="22"/>
        </w:rPr>
        <w:t xml:space="preserve"> only</w:t>
      </w:r>
      <w:r w:rsidRPr="0060083E">
        <w:rPr>
          <w:rFonts w:ascii="Arial" w:hAnsi="Arial" w:cs="Arial"/>
          <w:sz w:val="22"/>
          <w:szCs w:val="22"/>
        </w:rPr>
        <w:t xml:space="preserve">:   </w:t>
      </w:r>
      <w:r w:rsidR="00A36EE3">
        <w:rPr>
          <w:rFonts w:ascii="Arial" w:hAnsi="Arial" w:cs="Arial"/>
          <w:sz w:val="22"/>
          <w:szCs w:val="22"/>
        </w:rPr>
        <w:t xml:space="preserve">Saint Paul </w:t>
      </w:r>
      <w:r w:rsidRPr="0060083E">
        <w:rPr>
          <w:rFonts w:ascii="Arial" w:hAnsi="Arial" w:cs="Arial"/>
          <w:sz w:val="22"/>
          <w:szCs w:val="22"/>
        </w:rPr>
        <w:t xml:space="preserve">HRA shall require all applicants to execute a </w:t>
      </w:r>
      <w:r w:rsidRPr="0076384A">
        <w:rPr>
          <w:rFonts w:ascii="Arial" w:hAnsi="Arial" w:cs="Arial"/>
          <w:sz w:val="22"/>
          <w:szCs w:val="22"/>
        </w:rPr>
        <w:t>Compliance Agreement</w:t>
      </w:r>
      <w:r w:rsidRPr="0060083E">
        <w:rPr>
          <w:rFonts w:ascii="Arial" w:hAnsi="Arial" w:cs="Arial"/>
          <w:sz w:val="22"/>
          <w:szCs w:val="22"/>
        </w:rPr>
        <w:t xml:space="preserve"> that certifies that the </w:t>
      </w:r>
      <w:r w:rsidR="00A36EE3">
        <w:rPr>
          <w:rFonts w:ascii="Arial" w:hAnsi="Arial" w:cs="Arial"/>
          <w:sz w:val="22"/>
          <w:szCs w:val="22"/>
        </w:rPr>
        <w:t xml:space="preserve">owner </w:t>
      </w:r>
      <w:r w:rsidRPr="0060083E">
        <w:rPr>
          <w:rFonts w:ascii="Arial" w:hAnsi="Arial" w:cs="Arial"/>
          <w:sz w:val="22"/>
          <w:szCs w:val="22"/>
        </w:rPr>
        <w:t xml:space="preserve">will comply with employment, contracting, wage and other requirements, affirmative action/equal opportunity, Apprenticeship Training Programs, Labor Standards, Vendor Outreach, Contract Documents, </w:t>
      </w:r>
      <w:r w:rsidR="000B7A16">
        <w:rPr>
          <w:rFonts w:ascii="Arial" w:hAnsi="Arial" w:cs="Arial"/>
          <w:sz w:val="22"/>
          <w:szCs w:val="22"/>
        </w:rPr>
        <w:t xml:space="preserve">Section 3 requirements, </w:t>
      </w:r>
      <w:r w:rsidRPr="0060083E">
        <w:rPr>
          <w:rFonts w:ascii="Arial" w:hAnsi="Arial" w:cs="Arial"/>
          <w:sz w:val="22"/>
          <w:szCs w:val="22"/>
        </w:rPr>
        <w:t xml:space="preserve">Preconstruction Conference, and other compliance requirements as </w:t>
      </w:r>
      <w:r w:rsidR="00A36EE3">
        <w:rPr>
          <w:rFonts w:ascii="Arial" w:hAnsi="Arial" w:cs="Arial"/>
          <w:sz w:val="22"/>
          <w:szCs w:val="22"/>
        </w:rPr>
        <w:t>HRA</w:t>
      </w:r>
      <w:r w:rsidRPr="0060083E">
        <w:rPr>
          <w:rFonts w:ascii="Arial" w:hAnsi="Arial" w:cs="Arial"/>
          <w:sz w:val="22"/>
          <w:szCs w:val="22"/>
        </w:rPr>
        <w:t xml:space="preserve"> deems necessary.   </w:t>
      </w:r>
      <w:r w:rsidR="00BC2AA8" w:rsidRPr="00F33ECA">
        <w:rPr>
          <w:rFonts w:ascii="Arial" w:hAnsi="Arial" w:cs="Arial"/>
          <w:sz w:val="22"/>
          <w:szCs w:val="22"/>
        </w:rPr>
        <w:t xml:space="preserve">The </w:t>
      </w:r>
      <w:r w:rsidR="0026193F" w:rsidRPr="00F33ECA">
        <w:rPr>
          <w:rFonts w:ascii="Arial" w:hAnsi="Arial" w:cs="Arial"/>
          <w:sz w:val="22"/>
          <w:szCs w:val="22"/>
        </w:rPr>
        <w:t xml:space="preserve">owner of the </w:t>
      </w:r>
      <w:r w:rsidR="00BC2AA8" w:rsidRPr="00F33ECA">
        <w:rPr>
          <w:rFonts w:ascii="Arial" w:hAnsi="Arial" w:cs="Arial"/>
          <w:sz w:val="22"/>
          <w:szCs w:val="22"/>
        </w:rPr>
        <w:t>p</w:t>
      </w:r>
      <w:r w:rsidRPr="00F33ECA">
        <w:rPr>
          <w:rFonts w:ascii="Arial" w:hAnsi="Arial" w:cs="Arial"/>
          <w:sz w:val="22"/>
          <w:szCs w:val="22"/>
        </w:rPr>
        <w:t>roject may be subject to collection of liquidated damages for violations of compliance requirements</w:t>
      </w:r>
      <w:r w:rsidR="00A36EE3" w:rsidRPr="00F33ECA">
        <w:rPr>
          <w:rFonts w:ascii="Arial" w:hAnsi="Arial" w:cs="Arial"/>
          <w:sz w:val="22"/>
          <w:szCs w:val="22"/>
        </w:rPr>
        <w:t>, and other HRA remedies</w:t>
      </w:r>
      <w:r w:rsidR="001A6D81">
        <w:rPr>
          <w:rFonts w:ascii="Arial" w:hAnsi="Arial" w:cs="Arial"/>
        </w:rPr>
        <w:t>.</w:t>
      </w:r>
    </w:p>
    <w:p w:rsidR="009945B8" w:rsidRPr="00F33ECA" w:rsidRDefault="009945B8" w:rsidP="009945B8">
      <w:pPr>
        <w:widowControl/>
        <w:ind w:left="1440"/>
        <w:jc w:val="both"/>
        <w:rPr>
          <w:rFonts w:ascii="Arial" w:hAnsi="Arial" w:cs="Arial"/>
        </w:rPr>
      </w:pPr>
      <w:r>
        <w:rPr>
          <w:rFonts w:ascii="Arial" w:hAnsi="Arial" w:cs="Arial"/>
        </w:rPr>
        <w:br w:type="page"/>
      </w:r>
    </w:p>
    <w:p w:rsidR="005F6082" w:rsidRPr="00E03091" w:rsidRDefault="005F6082" w:rsidP="009945B8">
      <w:pPr>
        <w:pStyle w:val="Heading1"/>
        <w:keepNext w:val="0"/>
        <w:widowControl/>
        <w:rPr>
          <w:rFonts w:ascii="Arial" w:hAnsi="Arial"/>
          <w:sz w:val="22"/>
        </w:rPr>
      </w:pPr>
      <w:bookmarkStart w:id="53" w:name="_Toc511903031"/>
      <w:r w:rsidRPr="00E03091">
        <w:rPr>
          <w:rFonts w:ascii="Arial" w:hAnsi="Arial"/>
          <w:sz w:val="22"/>
        </w:rPr>
        <w:lastRenderedPageBreak/>
        <w:t>VII.</w:t>
      </w:r>
      <w:r w:rsidRPr="00E03091">
        <w:rPr>
          <w:rFonts w:ascii="Arial" w:hAnsi="Arial"/>
          <w:sz w:val="22"/>
        </w:rPr>
        <w:tab/>
        <w:t>SUBMISSION REQUIREMENTS</w:t>
      </w:r>
      <w:r w:rsidRPr="00E03091">
        <w:rPr>
          <w:rFonts w:ascii="Arial" w:hAnsi="Arial"/>
          <w:sz w:val="22"/>
        </w:rPr>
        <w:fldChar w:fldCharType="begin"/>
      </w:r>
      <w:r w:rsidRPr="00E03091">
        <w:rPr>
          <w:rFonts w:ascii="Arial" w:hAnsi="Arial"/>
          <w:sz w:val="22"/>
        </w:rPr>
        <w:instrText>tc \l1 "VII.</w:instrText>
      </w:r>
      <w:r w:rsidRPr="00E03091">
        <w:rPr>
          <w:rFonts w:ascii="Arial" w:hAnsi="Arial"/>
          <w:sz w:val="22"/>
        </w:rPr>
        <w:tab/>
        <w:instrText>SUBMISSION REQUIREMENTS</w:instrText>
      </w:r>
      <w:r w:rsidRPr="00E03091">
        <w:rPr>
          <w:rFonts w:ascii="Arial" w:hAnsi="Arial"/>
          <w:sz w:val="22"/>
        </w:rPr>
        <w:fldChar w:fldCharType="end"/>
      </w:r>
      <w:bookmarkEnd w:id="53"/>
    </w:p>
    <w:p w:rsidR="005F6082" w:rsidRDefault="005F6082" w:rsidP="00994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994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sz w:val="22"/>
        </w:rPr>
        <w:t>It is the applicant's responsibility to be aware of the processing submittals</w:t>
      </w:r>
      <w:r w:rsidR="00DD1D10">
        <w:rPr>
          <w:rFonts w:ascii="Arial" w:hAnsi="Arial"/>
          <w:sz w:val="22"/>
        </w:rPr>
        <w:t xml:space="preserve"> required </w:t>
      </w:r>
      <w:r>
        <w:rPr>
          <w:rFonts w:ascii="Arial" w:hAnsi="Arial"/>
          <w:sz w:val="22"/>
        </w:rPr>
        <w:t>to proceed t</w:t>
      </w:r>
      <w:r w:rsidR="00B44BD9">
        <w:rPr>
          <w:rFonts w:ascii="Arial" w:hAnsi="Arial"/>
          <w:sz w:val="22"/>
        </w:rPr>
        <w:t>o the next step in obtaining a Reservation</w:t>
      </w:r>
      <w:r>
        <w:rPr>
          <w:rFonts w:ascii="Arial" w:hAnsi="Arial"/>
          <w:sz w:val="22"/>
        </w:rPr>
        <w:t xml:space="preserve">.  If the applicant is unable to obtain these submittals (financing, zoning, site control, syndication, construction start, etc.) in a timely manner, or if </w:t>
      </w:r>
      <w:r w:rsidR="00B44BD9">
        <w:rPr>
          <w:rFonts w:ascii="Arial" w:hAnsi="Arial"/>
          <w:sz w:val="22"/>
        </w:rPr>
        <w:t xml:space="preserve">such </w:t>
      </w:r>
      <w:r>
        <w:rPr>
          <w:rFonts w:ascii="Arial" w:hAnsi="Arial"/>
          <w:sz w:val="22"/>
        </w:rPr>
        <w:t>appro</w:t>
      </w:r>
      <w:r w:rsidR="00E95873">
        <w:rPr>
          <w:rFonts w:ascii="Arial" w:hAnsi="Arial"/>
          <w:sz w:val="22"/>
        </w:rPr>
        <w:t>vals have expired, the A</w:t>
      </w:r>
      <w:r>
        <w:rPr>
          <w:rFonts w:ascii="Arial" w:hAnsi="Arial"/>
          <w:sz w:val="22"/>
        </w:rPr>
        <w:t>pplication will no longer be processed and the application fee will be forfeited.</w:t>
      </w:r>
    </w:p>
    <w:p w:rsidR="005F6082" w:rsidRDefault="005F6082" w:rsidP="00994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rsidP="00994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2"/>
        </w:rPr>
      </w:pPr>
      <w:r>
        <w:rPr>
          <w:rFonts w:ascii="Arial" w:hAnsi="Arial"/>
          <w:b/>
          <w:sz w:val="22"/>
          <w:u w:val="single"/>
        </w:rPr>
        <w:t>Required Documents/Exhibits</w:t>
      </w:r>
      <w:r w:rsidR="004A64C8">
        <w:rPr>
          <w:rFonts w:ascii="Arial" w:hAnsi="Arial"/>
          <w:b/>
          <w:sz w:val="22"/>
          <w:u w:val="single"/>
        </w:rPr>
        <w:t xml:space="preserve">.  </w:t>
      </w:r>
      <w:r>
        <w:rPr>
          <w:rFonts w:ascii="Arial" w:hAnsi="Arial"/>
          <w:sz w:val="22"/>
        </w:rPr>
        <w:t>It is very important that the applicant follow the order of</w:t>
      </w:r>
      <w:r w:rsidR="00DC29A2">
        <w:rPr>
          <w:rFonts w:ascii="Arial" w:hAnsi="Arial"/>
          <w:sz w:val="22"/>
        </w:rPr>
        <w:t xml:space="preserve"> </w:t>
      </w:r>
      <w:r>
        <w:rPr>
          <w:rFonts w:ascii="Arial" w:hAnsi="Arial"/>
          <w:sz w:val="22"/>
        </w:rPr>
        <w:t xml:space="preserve">the </w:t>
      </w:r>
      <w:r w:rsidRPr="00B44BD9">
        <w:rPr>
          <w:rFonts w:ascii="Arial" w:hAnsi="Arial"/>
          <w:sz w:val="22"/>
        </w:rPr>
        <w:t>Required Documents/Exhibits</w:t>
      </w:r>
      <w:r w:rsidR="00DD1D10">
        <w:rPr>
          <w:rFonts w:ascii="Arial" w:hAnsi="Arial"/>
          <w:sz w:val="22"/>
        </w:rPr>
        <w:t xml:space="preserve"> below.  S</w:t>
      </w:r>
      <w:r>
        <w:rPr>
          <w:rFonts w:ascii="Arial" w:hAnsi="Arial"/>
          <w:sz w:val="22"/>
        </w:rPr>
        <w:t>ubmissions should be separated by index tabs with correspond</w:t>
      </w:r>
      <w:r w:rsidR="00B44BD9">
        <w:rPr>
          <w:rFonts w:ascii="Arial" w:hAnsi="Arial"/>
          <w:sz w:val="22"/>
        </w:rPr>
        <w:t xml:space="preserve">ing numbers.  DO NOT submit submissions in a </w:t>
      </w:r>
      <w:r>
        <w:rPr>
          <w:rFonts w:ascii="Arial" w:hAnsi="Arial"/>
          <w:sz w:val="22"/>
        </w:rPr>
        <w:t>three-ring binder or with plastic casing around the pages.  Submissions should be bound only by staples, binder clips, or rubber bands.  The submission shoul</w:t>
      </w:r>
      <w:r w:rsidR="00F33ECA">
        <w:rPr>
          <w:rFonts w:ascii="Arial" w:hAnsi="Arial"/>
          <w:sz w:val="22"/>
        </w:rPr>
        <w:t>d include one original and two</w:t>
      </w:r>
      <w:r>
        <w:rPr>
          <w:rFonts w:ascii="Arial" w:hAnsi="Arial"/>
          <w:sz w:val="22"/>
        </w:rPr>
        <w:t xml:space="preserve"> </w:t>
      </w:r>
      <w:r w:rsidR="00F33ECA">
        <w:rPr>
          <w:rFonts w:ascii="Arial" w:hAnsi="Arial"/>
          <w:sz w:val="22"/>
        </w:rPr>
        <w:t>(2</w:t>
      </w:r>
      <w:r w:rsidR="00B44BD9">
        <w:rPr>
          <w:rFonts w:ascii="Arial" w:hAnsi="Arial"/>
          <w:sz w:val="22"/>
        </w:rPr>
        <w:t xml:space="preserve">) </w:t>
      </w:r>
      <w:r>
        <w:rPr>
          <w:rFonts w:ascii="Arial" w:hAnsi="Arial"/>
          <w:sz w:val="22"/>
        </w:rPr>
        <w:t>copies</w:t>
      </w:r>
      <w:r w:rsidR="00F33ECA">
        <w:rPr>
          <w:rFonts w:ascii="Arial" w:hAnsi="Arial"/>
          <w:sz w:val="22"/>
        </w:rPr>
        <w:t xml:space="preserve"> and one</w:t>
      </w:r>
      <w:r w:rsidR="0076384A">
        <w:rPr>
          <w:rFonts w:ascii="Arial" w:hAnsi="Arial"/>
          <w:sz w:val="22"/>
        </w:rPr>
        <w:t xml:space="preserve"> </w:t>
      </w:r>
      <w:r w:rsidR="00F33ECA">
        <w:rPr>
          <w:rFonts w:ascii="Arial" w:hAnsi="Arial"/>
          <w:sz w:val="22"/>
        </w:rPr>
        <w:t>(1) electronic copy (CD-rom or flash drive</w:t>
      </w:r>
      <w:r w:rsidR="008825EE">
        <w:rPr>
          <w:rFonts w:ascii="Arial" w:hAnsi="Arial"/>
          <w:sz w:val="22"/>
        </w:rPr>
        <w:t>)</w:t>
      </w:r>
      <w:r>
        <w:rPr>
          <w:rFonts w:ascii="Arial" w:hAnsi="Arial"/>
          <w:sz w:val="22"/>
        </w:rPr>
        <w:t xml:space="preserve">. Any submission not meeting these </w:t>
      </w:r>
      <w:r w:rsidR="00EF3C58">
        <w:rPr>
          <w:rFonts w:ascii="Arial" w:hAnsi="Arial"/>
          <w:sz w:val="22"/>
        </w:rPr>
        <w:t>requirements</w:t>
      </w:r>
      <w:r>
        <w:rPr>
          <w:rFonts w:ascii="Arial" w:hAnsi="Arial"/>
          <w:sz w:val="22"/>
        </w:rPr>
        <w:t xml:space="preserve"> will be returned to the applicant.  At a minimum, the following documents and exhibits are required to proceed toward </w:t>
      </w:r>
      <w:r w:rsidR="00DD1D10">
        <w:rPr>
          <w:rFonts w:ascii="Arial" w:hAnsi="Arial"/>
          <w:sz w:val="22"/>
        </w:rPr>
        <w:t xml:space="preserve">HTC </w:t>
      </w:r>
      <w:r>
        <w:rPr>
          <w:rFonts w:ascii="Arial" w:hAnsi="Arial"/>
          <w:sz w:val="22"/>
        </w:rPr>
        <w:t>allocation at each stage of the process:</w:t>
      </w:r>
    </w:p>
    <w:p w:rsidR="005F6082" w:rsidRPr="00C47C21" w:rsidRDefault="005F6082" w:rsidP="00C47C21">
      <w:pPr>
        <w:pStyle w:val="Heading2"/>
        <w:ind w:left="720"/>
        <w:rPr>
          <w:rFonts w:ascii="Arial" w:hAnsi="Arial"/>
          <w:i w:val="0"/>
          <w:sz w:val="22"/>
        </w:rPr>
      </w:pPr>
      <w:bookmarkStart w:id="54" w:name="_Toc511903032"/>
      <w:r w:rsidRPr="00C47C21">
        <w:rPr>
          <w:rFonts w:ascii="Arial" w:hAnsi="Arial"/>
          <w:i w:val="0"/>
          <w:sz w:val="22"/>
        </w:rPr>
        <w:t>A.</w:t>
      </w:r>
      <w:r w:rsidRPr="00C47C21">
        <w:rPr>
          <w:rFonts w:ascii="Arial" w:hAnsi="Arial"/>
          <w:i w:val="0"/>
          <w:sz w:val="22"/>
        </w:rPr>
        <w:tab/>
        <w:t>Application Requirements</w:t>
      </w:r>
      <w:r w:rsidRPr="00C47C21">
        <w:rPr>
          <w:rFonts w:ascii="Arial" w:hAnsi="Arial"/>
          <w:i w:val="0"/>
          <w:sz w:val="22"/>
        </w:rPr>
        <w:fldChar w:fldCharType="begin"/>
      </w:r>
      <w:r w:rsidRPr="00C47C21">
        <w:rPr>
          <w:rFonts w:ascii="Arial" w:hAnsi="Arial"/>
          <w:i w:val="0"/>
          <w:sz w:val="22"/>
        </w:rPr>
        <w:instrText>tc \l2 "A.</w:instrText>
      </w:r>
      <w:r w:rsidRPr="00C47C21">
        <w:rPr>
          <w:rFonts w:ascii="Arial" w:hAnsi="Arial"/>
          <w:i w:val="0"/>
          <w:sz w:val="22"/>
        </w:rPr>
        <w:tab/>
        <w:instrText>Application Requirements</w:instrText>
      </w:r>
      <w:r w:rsidRPr="00C47C21">
        <w:rPr>
          <w:rFonts w:ascii="Arial" w:hAnsi="Arial"/>
          <w:i w:val="0"/>
          <w:sz w:val="22"/>
        </w:rPr>
        <w:fldChar w:fldCharType="end"/>
      </w:r>
      <w:bookmarkEnd w:id="54"/>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(1)</w:t>
      </w:r>
      <w:r w:rsidR="008825EE">
        <w:rPr>
          <w:rFonts w:ascii="Arial" w:hAnsi="Arial"/>
          <w:sz w:val="22"/>
        </w:rPr>
        <w:tab/>
        <w:t>A check for the appropriate Application F</w:t>
      </w:r>
      <w:r w:rsidR="005F6082">
        <w:rPr>
          <w:rFonts w:ascii="Arial" w:hAnsi="Arial"/>
          <w:sz w:val="22"/>
        </w:rPr>
        <w:t>ee</w:t>
      </w:r>
      <w:r w:rsidR="00FB0E28">
        <w:rPr>
          <w:rFonts w:ascii="Arial" w:hAnsi="Arial"/>
          <w:sz w:val="22"/>
        </w:rPr>
        <w:t xml:space="preserve"> (See Section VIII)</w:t>
      </w:r>
      <w:r w:rsidR="008825EE">
        <w:rPr>
          <w:rFonts w:ascii="Arial" w:hAnsi="Arial"/>
          <w:sz w:val="22"/>
        </w:rPr>
        <w:t xml:space="preserve"> is required with the submission of the Application</w:t>
      </w:r>
      <w:r w:rsidR="005F6082">
        <w:rPr>
          <w:rFonts w:ascii="Arial" w:hAnsi="Arial"/>
          <w:sz w:val="22"/>
        </w:rPr>
        <w:t>.</w:t>
      </w:r>
      <w:r w:rsidR="008825EE">
        <w:rPr>
          <w:rFonts w:ascii="Arial" w:hAnsi="Arial"/>
          <w:sz w:val="22"/>
        </w:rPr>
        <w:t xml:space="preserve">  An Allocation Fee and Special Counsel Fee (See Section VIII) will be required upon HTC allocation.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(2)</w:t>
      </w:r>
      <w:r w:rsidR="005F6082">
        <w:rPr>
          <w:rFonts w:ascii="Arial" w:hAnsi="Arial"/>
          <w:sz w:val="22"/>
        </w:rPr>
        <w:tab/>
        <w:t xml:space="preserve">Opinion of Counsel </w:t>
      </w:r>
      <w:r w:rsidR="00EF3C58">
        <w:rPr>
          <w:rFonts w:ascii="Arial" w:hAnsi="Arial"/>
          <w:sz w:val="22"/>
        </w:rPr>
        <w:t xml:space="preserve">in the form of </w:t>
      </w:r>
      <w:r w:rsidR="005F6082">
        <w:rPr>
          <w:rFonts w:ascii="Arial" w:hAnsi="Arial"/>
          <w:sz w:val="22"/>
        </w:rPr>
        <w:t>Exhibit B.</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(3)</w:t>
      </w:r>
      <w:r w:rsidR="005F6082">
        <w:rPr>
          <w:rFonts w:ascii="Arial" w:hAnsi="Arial"/>
          <w:sz w:val="22"/>
        </w:rPr>
        <w:tab/>
        <w:t xml:space="preserve">Completed </w:t>
      </w:r>
      <w:r w:rsidR="008825EE">
        <w:rPr>
          <w:rFonts w:ascii="Arial" w:hAnsi="Arial"/>
          <w:sz w:val="22"/>
        </w:rPr>
        <w:t xml:space="preserve">Minnesota Housing </w:t>
      </w:r>
      <w:r w:rsidR="00E95873">
        <w:rPr>
          <w:rFonts w:ascii="Arial" w:hAnsi="Arial"/>
          <w:sz w:val="22"/>
        </w:rPr>
        <w:t>Common Application Form</w:t>
      </w:r>
      <w:r w:rsidR="005F6082">
        <w:rPr>
          <w:rFonts w:ascii="Arial" w:hAnsi="Arial"/>
          <w:sz w:val="22"/>
        </w:rPr>
        <w:t xml:space="preserve">, signed by at least one </w:t>
      </w:r>
      <w:r w:rsidR="00DD1D10">
        <w:rPr>
          <w:rFonts w:ascii="Arial" w:hAnsi="Arial"/>
          <w:sz w:val="22"/>
        </w:rPr>
        <w:t>general partner involved in the</w:t>
      </w:r>
      <w:r w:rsidR="005F6082">
        <w:rPr>
          <w:rFonts w:ascii="Arial" w:hAnsi="Arial"/>
          <w:sz w:val="22"/>
        </w:rPr>
        <w:t xml:space="preserve"> project (Exhibit I).  An incomplete or computer generated </w:t>
      </w:r>
      <w:r w:rsidR="00E95873">
        <w:rPr>
          <w:rFonts w:ascii="Arial" w:hAnsi="Arial"/>
          <w:sz w:val="22"/>
        </w:rPr>
        <w:t xml:space="preserve">Application </w:t>
      </w:r>
      <w:r w:rsidR="005F6082">
        <w:rPr>
          <w:rFonts w:ascii="Arial" w:hAnsi="Arial"/>
          <w:sz w:val="22"/>
        </w:rPr>
        <w:t>Form will not be accepted and will be returned to the applicant.</w:t>
      </w:r>
      <w:r w:rsidR="00CB3801">
        <w:rPr>
          <w:rFonts w:ascii="Arial" w:hAnsi="Arial"/>
          <w:sz w:val="22"/>
        </w:rPr>
        <w:t xml:space="preserve"> </w:t>
      </w:r>
      <w:r w:rsidR="00EF3C58">
        <w:rPr>
          <w:rFonts w:ascii="Arial" w:hAnsi="Arial"/>
          <w:sz w:val="22"/>
        </w:rPr>
        <w:t>NOTE: Applica</w:t>
      </w:r>
      <w:r w:rsidR="00E95873">
        <w:rPr>
          <w:rFonts w:ascii="Arial" w:hAnsi="Arial"/>
          <w:sz w:val="22"/>
        </w:rPr>
        <w:t xml:space="preserve">nts </w:t>
      </w:r>
      <w:r w:rsidR="00EF3C58">
        <w:rPr>
          <w:rFonts w:ascii="Arial" w:hAnsi="Arial"/>
          <w:sz w:val="22"/>
        </w:rPr>
        <w:t xml:space="preserve">receiving a </w:t>
      </w:r>
      <w:r w:rsidR="00AA164F">
        <w:rPr>
          <w:rFonts w:ascii="Arial" w:hAnsi="Arial"/>
          <w:sz w:val="22"/>
        </w:rPr>
        <w:t>Reservation of</w:t>
      </w:r>
      <w:r w:rsidR="00CB3801">
        <w:rPr>
          <w:rFonts w:ascii="Arial" w:hAnsi="Arial"/>
          <w:sz w:val="22"/>
        </w:rPr>
        <w:t xml:space="preserve"> </w:t>
      </w:r>
      <w:r w:rsidR="00DD1D10">
        <w:rPr>
          <w:rFonts w:ascii="Arial" w:hAnsi="Arial"/>
          <w:sz w:val="22"/>
        </w:rPr>
        <w:t xml:space="preserve">HTC </w:t>
      </w:r>
      <w:r w:rsidR="00CB3801">
        <w:rPr>
          <w:rFonts w:ascii="Arial" w:hAnsi="Arial"/>
          <w:sz w:val="22"/>
        </w:rPr>
        <w:t xml:space="preserve">will be required to submit </w:t>
      </w:r>
      <w:r w:rsidR="008825EE">
        <w:rPr>
          <w:rFonts w:ascii="Arial" w:hAnsi="Arial"/>
          <w:sz w:val="22"/>
        </w:rPr>
        <w:t xml:space="preserve">an </w:t>
      </w:r>
      <w:r w:rsidR="00CB3801">
        <w:rPr>
          <w:rFonts w:ascii="Arial" w:hAnsi="Arial"/>
          <w:sz w:val="22"/>
        </w:rPr>
        <w:t xml:space="preserve">original </w:t>
      </w:r>
      <w:r w:rsidR="008825EE">
        <w:rPr>
          <w:rFonts w:ascii="Arial" w:hAnsi="Arial"/>
          <w:sz w:val="22"/>
        </w:rPr>
        <w:t>Minnesota Housing C</w:t>
      </w:r>
      <w:r w:rsidR="00E95873">
        <w:rPr>
          <w:rFonts w:ascii="Arial" w:hAnsi="Arial"/>
          <w:sz w:val="22"/>
        </w:rPr>
        <w:t xml:space="preserve">ommon </w:t>
      </w:r>
      <w:r w:rsidR="004A64C8">
        <w:rPr>
          <w:rFonts w:ascii="Arial" w:hAnsi="Arial"/>
          <w:sz w:val="22"/>
        </w:rPr>
        <w:t>Application Form</w:t>
      </w:r>
      <w:r w:rsidR="00E95873">
        <w:rPr>
          <w:rFonts w:ascii="Arial" w:hAnsi="Arial"/>
          <w:sz w:val="22"/>
        </w:rPr>
        <w:t xml:space="preserve"> </w:t>
      </w:r>
      <w:r w:rsidR="00CB3801">
        <w:rPr>
          <w:rFonts w:ascii="Arial" w:hAnsi="Arial"/>
          <w:sz w:val="22"/>
        </w:rPr>
        <w:t xml:space="preserve">in its </w:t>
      </w:r>
      <w:r w:rsidR="0076384A">
        <w:rPr>
          <w:rFonts w:ascii="Arial" w:hAnsi="Arial"/>
          <w:sz w:val="22"/>
        </w:rPr>
        <w:t>original electronic XLS format.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4</w:t>
      </w:r>
      <w:r>
        <w:rPr>
          <w:rFonts w:ascii="Arial" w:hAnsi="Arial"/>
          <w:noProof/>
          <w:sz w:val="22"/>
        </w:rPr>
        <w:t>)</w:t>
      </w:r>
      <w:r w:rsidR="005F6082">
        <w:rPr>
          <w:rFonts w:ascii="Arial" w:hAnsi="Arial"/>
          <w:sz w:val="22"/>
        </w:rPr>
        <w:tab/>
        <w:t xml:space="preserve">Original photographs </w:t>
      </w:r>
      <w:r w:rsidR="00DD1D10">
        <w:rPr>
          <w:rFonts w:ascii="Arial" w:hAnsi="Arial"/>
          <w:sz w:val="22"/>
        </w:rPr>
        <w:t xml:space="preserve">of the </w:t>
      </w:r>
      <w:r w:rsidR="005F6082">
        <w:rPr>
          <w:rFonts w:ascii="Arial" w:hAnsi="Arial"/>
          <w:sz w:val="22"/>
        </w:rPr>
        <w:t xml:space="preserve">exterior and interior </w:t>
      </w:r>
      <w:r w:rsidR="00DD1D10">
        <w:rPr>
          <w:rFonts w:ascii="Arial" w:hAnsi="Arial"/>
          <w:sz w:val="22"/>
        </w:rPr>
        <w:t xml:space="preserve">walls </w:t>
      </w:r>
      <w:r w:rsidR="005F6082">
        <w:rPr>
          <w:rFonts w:ascii="Arial" w:hAnsi="Arial"/>
          <w:sz w:val="22"/>
        </w:rPr>
        <w:t xml:space="preserve">of </w:t>
      </w:r>
      <w:r w:rsidR="00DD1D10">
        <w:rPr>
          <w:rFonts w:ascii="Arial" w:hAnsi="Arial"/>
          <w:sz w:val="22"/>
        </w:rPr>
        <w:t xml:space="preserve">each </w:t>
      </w:r>
      <w:r w:rsidR="005F6082">
        <w:rPr>
          <w:rFonts w:ascii="Arial" w:hAnsi="Arial"/>
          <w:sz w:val="22"/>
        </w:rPr>
        <w:t xml:space="preserve">building, if existing, or </w:t>
      </w:r>
      <w:r w:rsidR="00EF3C58">
        <w:rPr>
          <w:rFonts w:ascii="Arial" w:hAnsi="Arial"/>
          <w:sz w:val="22"/>
        </w:rPr>
        <w:t xml:space="preserve">of the </w:t>
      </w:r>
      <w:r w:rsidR="005F6082">
        <w:rPr>
          <w:rFonts w:ascii="Arial" w:hAnsi="Arial"/>
          <w:sz w:val="22"/>
        </w:rPr>
        <w:t>site and surrounding area, if new construction.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1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5</w:t>
      </w:r>
      <w:r>
        <w:rPr>
          <w:rFonts w:ascii="Arial" w:hAnsi="Arial"/>
          <w:noProof/>
          <w:sz w:val="22"/>
        </w:rPr>
        <w:t>)</w:t>
      </w:r>
      <w:r w:rsidR="005F6082">
        <w:rPr>
          <w:rFonts w:ascii="Arial" w:hAnsi="Arial"/>
          <w:sz w:val="22"/>
        </w:rPr>
        <w:tab/>
        <w:t>Evidence of Site Control.  Evidence of title or adequate site control must be submitted with the application.  Acceptable evidence includes the following: warranty deed, purchase contract, option</w:t>
      </w:r>
      <w:r w:rsidR="00DD1D10">
        <w:rPr>
          <w:rFonts w:ascii="Arial" w:hAnsi="Arial"/>
          <w:sz w:val="22"/>
        </w:rPr>
        <w:t xml:space="preserve"> contract</w:t>
      </w:r>
      <w:r w:rsidR="005F6082">
        <w:rPr>
          <w:rFonts w:ascii="Arial" w:hAnsi="Arial"/>
          <w:sz w:val="22"/>
        </w:rPr>
        <w:t xml:space="preserve">, or letter of intent from </w:t>
      </w:r>
      <w:r w:rsidR="00DD1D10">
        <w:rPr>
          <w:rFonts w:ascii="Arial" w:hAnsi="Arial"/>
          <w:sz w:val="22"/>
        </w:rPr>
        <w:t xml:space="preserve">a </w:t>
      </w:r>
      <w:r w:rsidR="005F6082">
        <w:rPr>
          <w:rFonts w:ascii="Arial" w:hAnsi="Arial"/>
          <w:sz w:val="22"/>
        </w:rPr>
        <w:t xml:space="preserve">governmental body for sole developer, etc.  The evidence of site control must be current and extend to </w:t>
      </w:r>
      <w:r w:rsidR="00DD1D10">
        <w:rPr>
          <w:rFonts w:ascii="Arial" w:hAnsi="Arial"/>
          <w:sz w:val="22"/>
        </w:rPr>
        <w:t xml:space="preserve">the </w:t>
      </w:r>
      <w:r w:rsidR="005F6082">
        <w:rPr>
          <w:rFonts w:ascii="Arial" w:hAnsi="Arial"/>
          <w:sz w:val="22"/>
        </w:rPr>
        <w:t xml:space="preserve">anticipated date of "placed in service" or provisions for extension provided.  For </w:t>
      </w:r>
      <w:r w:rsidR="00DD1D10">
        <w:rPr>
          <w:rFonts w:ascii="Arial" w:hAnsi="Arial"/>
          <w:sz w:val="22"/>
        </w:rPr>
        <w:t xml:space="preserve">HTC </w:t>
      </w:r>
      <w:r w:rsidR="005F6082">
        <w:rPr>
          <w:rFonts w:ascii="Arial" w:hAnsi="Arial"/>
          <w:sz w:val="22"/>
        </w:rPr>
        <w:t>allocation</w:t>
      </w:r>
      <w:r w:rsidR="001A6D81">
        <w:rPr>
          <w:rFonts w:ascii="Arial" w:hAnsi="Arial"/>
          <w:sz w:val="22"/>
        </w:rPr>
        <w:t>s</w:t>
      </w:r>
      <w:r w:rsidR="005F6082">
        <w:rPr>
          <w:rFonts w:ascii="Arial" w:hAnsi="Arial"/>
          <w:sz w:val="22"/>
        </w:rPr>
        <w:t xml:space="preserve">, an attorney's opinion that the applicant has ownership of the property as required and in accordance with Section 42 </w:t>
      </w:r>
      <w:r w:rsidR="001D7E91">
        <w:rPr>
          <w:rFonts w:ascii="Arial" w:hAnsi="Arial"/>
          <w:sz w:val="22"/>
        </w:rPr>
        <w:t xml:space="preserve">of the Code </w:t>
      </w:r>
      <w:r w:rsidR="005F6082">
        <w:rPr>
          <w:rFonts w:ascii="Arial" w:hAnsi="Arial"/>
          <w:sz w:val="22"/>
        </w:rPr>
        <w:t xml:space="preserve">will be required.  Owners should be cautioned that </w:t>
      </w:r>
      <w:r w:rsidR="00EF3C58">
        <w:rPr>
          <w:rFonts w:ascii="Arial" w:hAnsi="Arial"/>
          <w:sz w:val="22"/>
        </w:rPr>
        <w:t>R</w:t>
      </w:r>
      <w:r w:rsidR="005F6082">
        <w:rPr>
          <w:rFonts w:ascii="Arial" w:hAnsi="Arial"/>
          <w:sz w:val="22"/>
        </w:rPr>
        <w:t>eservations are site specific and the entire</w:t>
      </w:r>
      <w:r w:rsidR="00EF3C58">
        <w:rPr>
          <w:rFonts w:ascii="Arial" w:hAnsi="Arial"/>
          <w:sz w:val="22"/>
        </w:rPr>
        <w:t xml:space="preserve"> described project will be </w:t>
      </w:r>
      <w:r w:rsidR="005F6082">
        <w:rPr>
          <w:rFonts w:ascii="Arial" w:hAnsi="Arial"/>
          <w:sz w:val="22"/>
        </w:rPr>
        <w:t>subject to the terms a</w:t>
      </w:r>
      <w:r w:rsidR="00DD1D10">
        <w:rPr>
          <w:rFonts w:ascii="Arial" w:hAnsi="Arial"/>
          <w:sz w:val="22"/>
        </w:rPr>
        <w:t>nd covenants of the Declaration</w:t>
      </w:r>
      <w:r w:rsidR="005F6082">
        <w:rPr>
          <w:rFonts w:ascii="Arial" w:hAnsi="Arial"/>
          <w:sz w:val="22"/>
        </w:rPr>
        <w:t xml:space="preserve">.  Loss of site control will result in </w:t>
      </w:r>
      <w:r w:rsidR="00355F2E">
        <w:rPr>
          <w:rFonts w:ascii="Arial" w:hAnsi="Arial"/>
          <w:sz w:val="22"/>
        </w:rPr>
        <w:t xml:space="preserve">the </w:t>
      </w:r>
      <w:r w:rsidR="005F6082">
        <w:rPr>
          <w:rFonts w:ascii="Arial" w:hAnsi="Arial"/>
          <w:sz w:val="22"/>
        </w:rPr>
        <w:t xml:space="preserve">cancellation of </w:t>
      </w:r>
      <w:r w:rsidR="001A6D81">
        <w:rPr>
          <w:rFonts w:ascii="Arial" w:hAnsi="Arial"/>
          <w:sz w:val="22"/>
        </w:rPr>
        <w:t>the R</w:t>
      </w:r>
      <w:r w:rsidR="005F6082">
        <w:rPr>
          <w:rFonts w:ascii="Arial" w:hAnsi="Arial"/>
          <w:sz w:val="22"/>
        </w:rPr>
        <w:t>eservation or Carryover</w:t>
      </w:r>
      <w:r w:rsidR="00355F2E">
        <w:rPr>
          <w:rFonts w:ascii="Arial" w:hAnsi="Arial"/>
          <w:sz w:val="22"/>
        </w:rPr>
        <w:t xml:space="preserve"> Allocation</w:t>
      </w:r>
      <w:r w:rsidR="005F6082">
        <w:rPr>
          <w:rFonts w:ascii="Arial" w:hAnsi="Arial"/>
          <w:sz w:val="22"/>
        </w:rPr>
        <w:t xml:space="preserve">.  </w:t>
      </w:r>
      <w:r w:rsidR="00350A65">
        <w:rPr>
          <w:rFonts w:ascii="Arial" w:hAnsi="Arial"/>
          <w:sz w:val="22"/>
        </w:rPr>
        <w:t>CPED</w:t>
      </w:r>
      <w:r w:rsidR="005F6082">
        <w:rPr>
          <w:rFonts w:ascii="Arial" w:hAnsi="Arial"/>
          <w:sz w:val="22"/>
        </w:rPr>
        <w:t xml:space="preserve"> and HRA will not accept applications from different applicants for the same site.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lastRenderedPageBreak/>
        <w:t>(</w:t>
      </w:r>
      <w:r w:rsidR="005F6082">
        <w:rPr>
          <w:rFonts w:ascii="Arial" w:hAnsi="Arial"/>
          <w:noProof/>
          <w:sz w:val="22"/>
        </w:rPr>
        <w:t>6</w:t>
      </w:r>
      <w:r>
        <w:rPr>
          <w:rFonts w:ascii="Arial" w:hAnsi="Arial"/>
          <w:noProof/>
          <w:sz w:val="22"/>
        </w:rPr>
        <w:t>)</w:t>
      </w:r>
      <w:r w:rsidR="005F6082">
        <w:rPr>
          <w:rFonts w:ascii="Arial" w:hAnsi="Arial"/>
          <w:sz w:val="22"/>
        </w:rPr>
        <w:tab/>
        <w:t>Legal description of land (not property t</w:t>
      </w:r>
      <w:r w:rsidR="0076384A">
        <w:rPr>
          <w:rFonts w:ascii="Arial" w:hAnsi="Arial"/>
          <w:sz w:val="22"/>
        </w:rPr>
        <w:t>ax ID number) on separate 8-1/2</w:t>
      </w:r>
      <w:r w:rsidR="00905F2D">
        <w:rPr>
          <w:rFonts w:ascii="Arial" w:hAnsi="Arial"/>
          <w:sz w:val="22"/>
        </w:rPr>
        <w:t>”</w:t>
      </w:r>
      <w:r w:rsidR="005F6082">
        <w:rPr>
          <w:rFonts w:ascii="Arial" w:hAnsi="Arial"/>
          <w:sz w:val="22"/>
        </w:rPr>
        <w:t xml:space="preserve"> by 11</w:t>
      </w:r>
      <w:r w:rsidR="0076384A">
        <w:rPr>
          <w:rFonts w:ascii="Arial" w:hAnsi="Arial"/>
          <w:sz w:val="22"/>
        </w:rPr>
        <w:t>”</w:t>
      </w:r>
      <w:r w:rsidR="005F6082">
        <w:rPr>
          <w:rFonts w:ascii="Arial" w:hAnsi="Arial"/>
          <w:sz w:val="22"/>
        </w:rPr>
        <w:t xml:space="preserve"> sheet of paper and labeled </w:t>
      </w:r>
      <w:r w:rsidR="0076384A">
        <w:rPr>
          <w:rFonts w:ascii="Arial" w:hAnsi="Arial"/>
          <w:sz w:val="22"/>
        </w:rPr>
        <w:t>“</w:t>
      </w:r>
      <w:r w:rsidR="005F6082">
        <w:rPr>
          <w:rFonts w:ascii="Arial" w:hAnsi="Arial"/>
          <w:sz w:val="22"/>
        </w:rPr>
        <w:t>Exhibit A</w:t>
      </w:r>
      <w:r w:rsidR="0076384A">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7</w:t>
      </w:r>
      <w:r>
        <w:rPr>
          <w:rFonts w:ascii="Arial" w:hAnsi="Arial"/>
          <w:noProof/>
          <w:sz w:val="22"/>
        </w:rPr>
        <w:t>)</w:t>
      </w:r>
      <w:r w:rsidR="005F6082">
        <w:rPr>
          <w:rFonts w:ascii="Arial" w:hAnsi="Arial"/>
          <w:sz w:val="22"/>
        </w:rPr>
        <w:tab/>
        <w:t>Status of zoning.  Letter from a local zoning official identifying the develop</w:t>
      </w:r>
      <w:r w:rsidR="0009009C">
        <w:rPr>
          <w:rFonts w:ascii="Arial" w:hAnsi="Arial"/>
          <w:sz w:val="22"/>
        </w:rPr>
        <w:t xml:space="preserve">ment, </w:t>
      </w:r>
      <w:r w:rsidR="005F6082">
        <w:rPr>
          <w:rFonts w:ascii="Arial" w:hAnsi="Arial"/>
          <w:sz w:val="22"/>
        </w:rPr>
        <w:t xml:space="preserve">number of units, stories, and </w:t>
      </w:r>
      <w:r w:rsidR="001D0604">
        <w:rPr>
          <w:rFonts w:ascii="Arial" w:hAnsi="Arial"/>
          <w:sz w:val="22"/>
        </w:rPr>
        <w:t>on-site</w:t>
      </w:r>
      <w:r w:rsidR="005F6082">
        <w:rPr>
          <w:rFonts w:ascii="Arial" w:hAnsi="Arial"/>
          <w:sz w:val="22"/>
        </w:rPr>
        <w:t xml:space="preserve"> parking spaces, and stating the current zoning of the land.  If measures need to be taken to change the status of zoning, please indicate.  (Exhibit K)</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8</w:t>
      </w:r>
      <w:r>
        <w:rPr>
          <w:rFonts w:ascii="Arial" w:hAnsi="Arial"/>
          <w:noProof/>
          <w:sz w:val="22"/>
        </w:rPr>
        <w:t>)</w:t>
      </w:r>
      <w:r w:rsidR="005F6082">
        <w:rPr>
          <w:rFonts w:ascii="Arial" w:hAnsi="Arial"/>
          <w:sz w:val="22"/>
        </w:rPr>
        <w:tab/>
        <w:t xml:space="preserve">Proposed sources of funds.  In the form of a letter of intent, commitment, etc. that states </w:t>
      </w:r>
      <w:r w:rsidR="00355F2E">
        <w:rPr>
          <w:rFonts w:ascii="Arial" w:hAnsi="Arial"/>
          <w:sz w:val="22"/>
        </w:rPr>
        <w:t xml:space="preserve">the </w:t>
      </w:r>
      <w:r w:rsidR="005F6082">
        <w:rPr>
          <w:rFonts w:ascii="Arial" w:hAnsi="Arial"/>
          <w:sz w:val="22"/>
        </w:rPr>
        <w:t xml:space="preserve">terms, conditions (including dollar amount, number of years, interest rate, debt service coverage, etc.).  </w:t>
      </w:r>
      <w:r w:rsidR="00E95873">
        <w:rPr>
          <w:rFonts w:ascii="Arial" w:hAnsi="Arial"/>
          <w:sz w:val="22"/>
        </w:rPr>
        <w:t>An A</w:t>
      </w:r>
      <w:r w:rsidR="005F6082">
        <w:rPr>
          <w:rFonts w:ascii="Arial" w:hAnsi="Arial"/>
          <w:sz w:val="22"/>
        </w:rPr>
        <w:t xml:space="preserve">pplication will not be accepted without </w:t>
      </w:r>
      <w:r w:rsidR="00EF3C58">
        <w:rPr>
          <w:rFonts w:ascii="Arial" w:hAnsi="Arial"/>
          <w:sz w:val="22"/>
        </w:rPr>
        <w:t xml:space="preserve">financing </w:t>
      </w:r>
      <w:r w:rsidR="005F6082">
        <w:rPr>
          <w:rFonts w:ascii="Arial" w:hAnsi="Arial"/>
          <w:sz w:val="22"/>
        </w:rPr>
        <w:t>terms.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(a)</w:t>
      </w:r>
      <w:r w:rsidR="00355F2E">
        <w:rPr>
          <w:rFonts w:ascii="Arial" w:hAnsi="Arial"/>
          <w:sz w:val="22"/>
        </w:rPr>
        <w:tab/>
        <w:t>Construction financing - commitment</w:t>
      </w:r>
      <w:r>
        <w:rPr>
          <w:rFonts w:ascii="Arial" w:hAnsi="Arial"/>
          <w:sz w:val="22"/>
        </w:rPr>
        <w:t xml:space="preserve"> from lender;</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355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Pr>
          <w:rFonts w:ascii="Arial" w:hAnsi="Arial"/>
          <w:sz w:val="22"/>
        </w:rPr>
        <w:tab/>
        <w:t>Permanent financing - commitment</w:t>
      </w:r>
      <w:r w:rsidR="005F6082">
        <w:rPr>
          <w:rFonts w:ascii="Arial" w:hAnsi="Arial"/>
          <w:sz w:val="22"/>
        </w:rPr>
        <w:t xml:space="preserve"> from lender (for FMHA Projects AD622 and letter of conditions);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w:t>
      </w:r>
      <w:r w:rsidR="00355F2E">
        <w:rPr>
          <w:rFonts w:ascii="Arial" w:hAnsi="Arial"/>
          <w:sz w:val="22"/>
        </w:rPr>
        <w:t>c)</w:t>
      </w:r>
      <w:r w:rsidR="00355F2E">
        <w:rPr>
          <w:rFonts w:ascii="Arial" w:hAnsi="Arial"/>
          <w:sz w:val="22"/>
        </w:rPr>
        <w:tab/>
        <w:t xml:space="preserve">Secondary financing – commitment </w:t>
      </w:r>
      <w:r>
        <w:rPr>
          <w:rFonts w:ascii="Arial" w:hAnsi="Arial"/>
          <w:sz w:val="22"/>
        </w:rPr>
        <w:t>from lender;</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(d)</w:t>
      </w:r>
      <w:r>
        <w:rPr>
          <w:rFonts w:ascii="Arial" w:hAnsi="Arial"/>
          <w:sz w:val="22"/>
        </w:rPr>
        <w:tab/>
        <w:t>Grants - letter from granting authority;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(e)</w:t>
      </w:r>
      <w:r>
        <w:rPr>
          <w:rFonts w:ascii="Arial" w:hAnsi="Arial"/>
          <w:sz w:val="22"/>
        </w:rPr>
        <w:tab/>
        <w:t>Syndication proceeds</w:t>
      </w:r>
      <w:r w:rsidR="00355F2E">
        <w:rPr>
          <w:rFonts w:ascii="Arial" w:hAnsi="Arial"/>
          <w:sz w:val="22"/>
        </w:rPr>
        <w:t xml:space="preserve"> – commitment from investor</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(f)</w:t>
      </w:r>
      <w:r>
        <w:rPr>
          <w:rFonts w:ascii="Arial" w:hAnsi="Arial"/>
          <w:sz w:val="22"/>
        </w:rPr>
        <w:tab/>
        <w:t>Other sources of funds, including any federal, state, local and private subsidies.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(9)</w:t>
      </w:r>
      <w:r w:rsidR="005F6082">
        <w:rPr>
          <w:rFonts w:ascii="Arial" w:hAnsi="Arial"/>
          <w:sz w:val="22"/>
        </w:rPr>
        <w:tab/>
        <w:t>Project Team resumes.  One page maximum per individual, current within six months.  Complete and attach to front of the submission Exhibit M (LIHC-19).</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09009C">
        <w:rPr>
          <w:rFonts w:ascii="Arial" w:hAnsi="Arial"/>
          <w:noProof/>
          <w:sz w:val="22"/>
        </w:rPr>
        <w:t>1</w:t>
      </w:r>
      <w:r w:rsidR="005F6082">
        <w:rPr>
          <w:rFonts w:ascii="Arial" w:hAnsi="Arial"/>
          <w:noProof/>
          <w:sz w:val="22"/>
        </w:rPr>
        <w:t>0</w:t>
      </w:r>
      <w:r>
        <w:rPr>
          <w:rFonts w:ascii="Arial" w:hAnsi="Arial"/>
          <w:noProof/>
          <w:sz w:val="22"/>
        </w:rPr>
        <w:t>)</w:t>
      </w:r>
      <w:r w:rsidR="005F6082">
        <w:rPr>
          <w:rFonts w:ascii="Arial" w:hAnsi="Arial"/>
          <w:sz w:val="22"/>
        </w:rPr>
        <w:tab/>
        <w:t>Previous participation.  Complete in full Exhibit L (LIHC-17).</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11</w:t>
      </w:r>
      <w:r>
        <w:rPr>
          <w:rFonts w:ascii="Arial" w:hAnsi="Arial"/>
          <w:noProof/>
          <w:sz w:val="22"/>
        </w:rPr>
        <w:t>)</w:t>
      </w:r>
      <w:r w:rsidR="005F6082">
        <w:rPr>
          <w:rFonts w:ascii="Arial" w:hAnsi="Arial"/>
          <w:sz w:val="22"/>
        </w:rPr>
        <w:tab/>
        <w:t>Agreement to utilize Public Waiting List, Exhibit J (LIHC-11).</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12</w:t>
      </w:r>
      <w:r>
        <w:rPr>
          <w:rFonts w:ascii="Arial" w:hAnsi="Arial"/>
          <w:noProof/>
          <w:sz w:val="22"/>
        </w:rPr>
        <w:t>)</w:t>
      </w:r>
      <w:r w:rsidR="00EF3C58">
        <w:rPr>
          <w:rFonts w:ascii="Arial" w:hAnsi="Arial"/>
          <w:sz w:val="22"/>
        </w:rPr>
        <w:tab/>
        <w:t xml:space="preserve">Calculation </w:t>
      </w:r>
      <w:r w:rsidR="008825EE">
        <w:rPr>
          <w:rFonts w:ascii="Arial" w:hAnsi="Arial"/>
          <w:sz w:val="22"/>
        </w:rPr>
        <w:t xml:space="preserve">of </w:t>
      </w:r>
      <w:r w:rsidR="00EF3C58">
        <w:rPr>
          <w:rFonts w:ascii="Arial" w:hAnsi="Arial"/>
          <w:sz w:val="22"/>
        </w:rPr>
        <w:t>HTC</w:t>
      </w:r>
      <w:r w:rsidR="005F6082">
        <w:rPr>
          <w:rFonts w:ascii="Arial" w:hAnsi="Arial"/>
          <w:sz w:val="22"/>
        </w:rPr>
        <w:t xml:space="preserve">, Exhibit I (LIHC-8 &amp; </w:t>
      </w:r>
      <w:r w:rsidR="008825EE">
        <w:rPr>
          <w:rFonts w:ascii="Arial" w:hAnsi="Arial"/>
          <w:sz w:val="22"/>
        </w:rPr>
        <w:t xml:space="preserve">Minnesota Housing </w:t>
      </w:r>
      <w:r w:rsidR="00BE7B7D">
        <w:rPr>
          <w:rFonts w:ascii="Arial" w:hAnsi="Arial"/>
          <w:sz w:val="22"/>
        </w:rPr>
        <w:t>Common Applic</w:t>
      </w:r>
      <w:r w:rsidR="008825EE">
        <w:rPr>
          <w:rFonts w:ascii="Arial" w:hAnsi="Arial"/>
          <w:sz w:val="22"/>
        </w:rPr>
        <w:t>a</w:t>
      </w:r>
      <w:r w:rsidR="00BE7B7D">
        <w:rPr>
          <w:rFonts w:ascii="Arial" w:hAnsi="Arial"/>
          <w:sz w:val="22"/>
        </w:rPr>
        <w:t>tion Form</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13</w:t>
      </w:r>
      <w:r>
        <w:rPr>
          <w:rFonts w:ascii="Arial" w:hAnsi="Arial"/>
          <w:noProof/>
          <w:sz w:val="22"/>
        </w:rPr>
        <w:t>)</w:t>
      </w:r>
      <w:r w:rsidR="005F6082">
        <w:rPr>
          <w:rFonts w:ascii="Arial" w:hAnsi="Arial"/>
          <w:sz w:val="22"/>
        </w:rPr>
        <w:tab/>
        <w:t>A 15-year after tax cash flow pro</w:t>
      </w:r>
      <w:r w:rsidR="002F3A22">
        <w:rPr>
          <w:rFonts w:ascii="Arial" w:hAnsi="Arial"/>
          <w:sz w:val="22"/>
        </w:rPr>
        <w:t xml:space="preserve"> </w:t>
      </w:r>
      <w:r w:rsidR="005F6082">
        <w:rPr>
          <w:rFonts w:ascii="Arial" w:hAnsi="Arial"/>
          <w:sz w:val="22"/>
        </w:rPr>
        <w:t xml:space="preserve">forma (for </w:t>
      </w:r>
      <w:r w:rsidR="00EF3C58">
        <w:rPr>
          <w:rFonts w:ascii="Arial" w:hAnsi="Arial"/>
          <w:sz w:val="22"/>
        </w:rPr>
        <w:t xml:space="preserve">projects with </w:t>
      </w:r>
      <w:r w:rsidR="005F6082">
        <w:rPr>
          <w:rFonts w:ascii="Arial" w:hAnsi="Arial"/>
          <w:sz w:val="22"/>
        </w:rPr>
        <w:t>five or more units).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rsidP="00EF3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14</w:t>
      </w:r>
      <w:r>
        <w:rPr>
          <w:rFonts w:ascii="Arial" w:hAnsi="Arial"/>
          <w:noProof/>
          <w:sz w:val="22"/>
        </w:rPr>
        <w:t>)</w:t>
      </w:r>
      <w:r w:rsidR="00EF3C58">
        <w:rPr>
          <w:rFonts w:ascii="Arial" w:hAnsi="Arial"/>
          <w:sz w:val="22"/>
        </w:rPr>
        <w:tab/>
        <w:t xml:space="preserve">If non-profit, evidence </w:t>
      </w:r>
      <w:r w:rsidR="005F6082">
        <w:rPr>
          <w:rFonts w:ascii="Arial" w:hAnsi="Arial"/>
          <w:sz w:val="22"/>
        </w:rPr>
        <w:t xml:space="preserve">of </w:t>
      </w:r>
      <w:r w:rsidR="00EF3C58">
        <w:rPr>
          <w:rFonts w:ascii="Arial" w:hAnsi="Arial"/>
          <w:sz w:val="22"/>
        </w:rPr>
        <w:t xml:space="preserve">non-profit </w:t>
      </w:r>
      <w:r w:rsidR="005F6082">
        <w:rPr>
          <w:rFonts w:ascii="Arial" w:hAnsi="Arial"/>
          <w:sz w:val="22"/>
        </w:rPr>
        <w:t>statu</w:t>
      </w:r>
      <w:r w:rsidR="00EF3C58">
        <w:rPr>
          <w:rFonts w:ascii="Arial" w:hAnsi="Arial"/>
          <w:sz w:val="22"/>
        </w:rPr>
        <w:t>s and IRS approval</w:t>
      </w:r>
      <w:r w:rsidR="00905F2D">
        <w:rPr>
          <w:rFonts w:ascii="Arial" w:hAnsi="Arial"/>
          <w:sz w:val="22"/>
        </w:rPr>
        <w:t>.</w:t>
      </w:r>
    </w:p>
    <w:p w:rsidR="00EF3C58" w:rsidRDefault="00EF3C58" w:rsidP="00EF3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15</w:t>
      </w:r>
      <w:r>
        <w:rPr>
          <w:rFonts w:ascii="Arial" w:hAnsi="Arial"/>
          <w:noProof/>
          <w:sz w:val="22"/>
        </w:rPr>
        <w:t>)</w:t>
      </w:r>
      <w:r w:rsidR="005F6082">
        <w:rPr>
          <w:rFonts w:ascii="Arial" w:hAnsi="Arial"/>
          <w:sz w:val="22"/>
        </w:rPr>
        <w:tab/>
        <w:t>Self-scoring worksheet for selection points, including documentation (Exhibit</w:t>
      </w:r>
      <w:r w:rsidR="0076384A">
        <w:rPr>
          <w:rFonts w:ascii="Arial" w:hAnsi="Arial"/>
          <w:sz w:val="22"/>
        </w:rPr>
        <w:t> </w:t>
      </w:r>
      <w:r w:rsidR="005F6082">
        <w:rPr>
          <w:rFonts w:ascii="Arial" w:hAnsi="Arial"/>
          <w:sz w:val="22"/>
        </w:rPr>
        <w:t>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16</w:t>
      </w:r>
      <w:r>
        <w:rPr>
          <w:rFonts w:ascii="Arial" w:hAnsi="Arial"/>
          <w:noProof/>
          <w:sz w:val="22"/>
        </w:rPr>
        <w:t>)</w:t>
      </w:r>
      <w:r w:rsidR="005F6082">
        <w:rPr>
          <w:rFonts w:ascii="Arial" w:hAnsi="Arial"/>
          <w:sz w:val="22"/>
        </w:rPr>
        <w:tab/>
        <w:t>Special Services.  For projects meeting the Threshold Requirement set forth in VII.C.</w:t>
      </w:r>
      <w:r>
        <w:rPr>
          <w:rFonts w:ascii="Arial" w:hAnsi="Arial"/>
          <w:sz w:val="22"/>
        </w:rPr>
        <w:t>4</w:t>
      </w:r>
      <w:r w:rsidR="005F6082">
        <w:rPr>
          <w:rFonts w:ascii="Arial" w:hAnsi="Arial"/>
          <w:sz w:val="22"/>
        </w:rPr>
        <w:t xml:space="preserve"> of the </w:t>
      </w:r>
      <w:r w:rsidR="008825EE">
        <w:rPr>
          <w:rFonts w:ascii="Arial" w:hAnsi="Arial"/>
          <w:sz w:val="22"/>
        </w:rPr>
        <w:t>QAP</w:t>
      </w:r>
      <w:r w:rsidR="005F6082">
        <w:rPr>
          <w:rFonts w:ascii="Arial" w:hAnsi="Arial"/>
          <w:sz w:val="22"/>
        </w:rPr>
        <w:t xml:space="preserve">, </w:t>
      </w:r>
      <w:r w:rsidR="005F6082" w:rsidRPr="00EF3C58">
        <w:rPr>
          <w:rFonts w:ascii="Arial" w:hAnsi="Arial"/>
          <w:sz w:val="22"/>
          <w:u w:val="single"/>
        </w:rPr>
        <w:t>evidence of such support</w:t>
      </w:r>
      <w:r w:rsidR="005F6082">
        <w:rPr>
          <w:rFonts w:ascii="Arial" w:hAnsi="Arial"/>
          <w:sz w:val="22"/>
        </w:rPr>
        <w:t xml:space="preserve"> must be provided to </w:t>
      </w:r>
      <w:r w:rsidR="00350A65">
        <w:rPr>
          <w:rFonts w:ascii="Arial" w:hAnsi="Arial"/>
          <w:sz w:val="22"/>
        </w:rPr>
        <w:t>CPED</w:t>
      </w:r>
      <w:r w:rsidR="005F6082">
        <w:rPr>
          <w:rFonts w:ascii="Arial" w:hAnsi="Arial"/>
          <w:sz w:val="22"/>
        </w:rPr>
        <w:t xml:space="preserve"> or </w:t>
      </w:r>
      <w:r w:rsidR="00EF3C58">
        <w:rPr>
          <w:rFonts w:ascii="Arial" w:hAnsi="Arial"/>
          <w:sz w:val="22"/>
        </w:rPr>
        <w:t>HRA before a R</w:t>
      </w:r>
      <w:r w:rsidR="005F6082">
        <w:rPr>
          <w:rFonts w:ascii="Arial" w:hAnsi="Arial"/>
          <w:sz w:val="22"/>
        </w:rPr>
        <w:t xml:space="preserve">eservation of </w:t>
      </w:r>
      <w:r w:rsidR="00EF3C58">
        <w:rPr>
          <w:rFonts w:ascii="Arial" w:hAnsi="Arial"/>
          <w:sz w:val="22"/>
        </w:rPr>
        <w:t>HTC</w:t>
      </w:r>
      <w:r w:rsidR="0076384A">
        <w:rPr>
          <w:rFonts w:ascii="Arial" w:hAnsi="Arial"/>
          <w:sz w:val="22"/>
        </w:rPr>
        <w:t xml:space="preserve"> will be issued</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17</w:t>
      </w:r>
      <w:r>
        <w:rPr>
          <w:rFonts w:ascii="Arial" w:hAnsi="Arial"/>
          <w:noProof/>
          <w:sz w:val="22"/>
        </w:rPr>
        <w:t>)</w:t>
      </w:r>
      <w:r w:rsidR="005F6082">
        <w:rPr>
          <w:rFonts w:ascii="Arial" w:hAnsi="Arial"/>
          <w:sz w:val="22"/>
        </w:rPr>
        <w:tab/>
        <w:t>Location Map</w:t>
      </w:r>
      <w:r w:rsidR="00FB0E28">
        <w:rPr>
          <w:rFonts w:ascii="Arial" w:hAnsi="Arial"/>
          <w:sz w:val="22"/>
        </w:rPr>
        <w:t xml:space="preserve"> of the project</w:t>
      </w:r>
      <w:r w:rsidR="005F6082">
        <w:rPr>
          <w:rFonts w:ascii="Arial" w:hAnsi="Arial"/>
          <w:sz w:val="22"/>
        </w:rPr>
        <w:t xml:space="preserve">.  Legible map with clear directions and cross </w:t>
      </w:r>
      <w:r w:rsidR="005F6082">
        <w:rPr>
          <w:rFonts w:ascii="Arial" w:hAnsi="Arial"/>
          <w:sz w:val="22"/>
        </w:rPr>
        <w:lastRenderedPageBreak/>
        <w:t>streets or roads must be provided.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18</w:t>
      </w:r>
      <w:r>
        <w:rPr>
          <w:rFonts w:ascii="Arial" w:hAnsi="Arial"/>
          <w:noProof/>
          <w:sz w:val="22"/>
        </w:rPr>
        <w:t>)</w:t>
      </w:r>
      <w:r w:rsidR="005F6082">
        <w:rPr>
          <w:rFonts w:ascii="Arial" w:hAnsi="Arial"/>
          <w:sz w:val="22"/>
        </w:rPr>
        <w:tab/>
        <w:t>Documentation for Utility Allowance.  (See #7, page 3 of LIHC 1).</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19</w:t>
      </w:r>
      <w:r>
        <w:rPr>
          <w:rFonts w:ascii="Arial" w:hAnsi="Arial"/>
          <w:noProof/>
          <w:sz w:val="22"/>
        </w:rPr>
        <w:t>)</w:t>
      </w:r>
      <w:r w:rsidR="005F6082">
        <w:rPr>
          <w:rFonts w:ascii="Arial" w:hAnsi="Arial"/>
          <w:sz w:val="22"/>
        </w:rPr>
        <w:tab/>
        <w:t>Preliminar</w:t>
      </w:r>
      <w:r w:rsidR="00FB0E28">
        <w:rPr>
          <w:rFonts w:ascii="Arial" w:hAnsi="Arial"/>
          <w:sz w:val="22"/>
        </w:rPr>
        <w:t>y drawings, at a minimum including</w:t>
      </w:r>
      <w:r w:rsidR="005F6082">
        <w:rPr>
          <w:rFonts w:ascii="Arial" w:hAnsi="Arial"/>
          <w:sz w:val="22"/>
        </w:rPr>
        <w:t xml:space="preserve"> site plan, elevations and unit plans.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5F6082">
        <w:rPr>
          <w:rFonts w:ascii="Arial" w:hAnsi="Arial"/>
          <w:noProof/>
          <w:sz w:val="22"/>
        </w:rPr>
        <w:t>20</w:t>
      </w:r>
      <w:r>
        <w:rPr>
          <w:rFonts w:ascii="Arial" w:hAnsi="Arial"/>
          <w:noProof/>
          <w:sz w:val="22"/>
        </w:rPr>
        <w:t>)</w:t>
      </w:r>
      <w:r w:rsidR="00FB0E28">
        <w:rPr>
          <w:rFonts w:ascii="Arial" w:hAnsi="Arial"/>
          <w:sz w:val="22"/>
        </w:rPr>
        <w:tab/>
        <w:t xml:space="preserve">For </w:t>
      </w:r>
      <w:r w:rsidR="005F6082">
        <w:rPr>
          <w:rFonts w:ascii="Arial" w:hAnsi="Arial"/>
          <w:sz w:val="22"/>
        </w:rPr>
        <w:t>acquisition and rehabilitation</w:t>
      </w:r>
      <w:r w:rsidR="00355F2E">
        <w:rPr>
          <w:rFonts w:ascii="Arial" w:hAnsi="Arial"/>
          <w:sz w:val="22"/>
        </w:rPr>
        <w:t xml:space="preserve"> project</w:t>
      </w:r>
      <w:r w:rsidR="00FB0E28">
        <w:rPr>
          <w:rFonts w:ascii="Arial" w:hAnsi="Arial"/>
          <w:sz w:val="22"/>
        </w:rPr>
        <w:t>s</w:t>
      </w:r>
      <w:r w:rsidR="005F6082">
        <w:rPr>
          <w:rFonts w:ascii="Arial" w:hAnsi="Arial"/>
          <w:sz w:val="22"/>
        </w:rPr>
        <w:t>, a scope of work must be sub</w:t>
      </w:r>
      <w:r w:rsidR="00E95873">
        <w:rPr>
          <w:rFonts w:ascii="Arial" w:hAnsi="Arial"/>
          <w:sz w:val="22"/>
        </w:rPr>
        <w:t>mitted for each building.  Any A</w:t>
      </w:r>
      <w:r w:rsidR="005F6082">
        <w:rPr>
          <w:rFonts w:ascii="Arial" w:hAnsi="Arial"/>
          <w:sz w:val="22"/>
        </w:rPr>
        <w:t xml:space="preserve">pplication involving </w:t>
      </w:r>
      <w:r w:rsidR="00355F2E">
        <w:rPr>
          <w:rFonts w:ascii="Arial" w:hAnsi="Arial"/>
          <w:sz w:val="22"/>
        </w:rPr>
        <w:t xml:space="preserve">the </w:t>
      </w:r>
      <w:r w:rsidR="005F6082">
        <w:rPr>
          <w:rFonts w:ascii="Arial" w:hAnsi="Arial"/>
          <w:sz w:val="22"/>
        </w:rPr>
        <w:t xml:space="preserve">acquisition and rehabilitation of a </w:t>
      </w:r>
      <w:r w:rsidR="00894290">
        <w:rPr>
          <w:rFonts w:ascii="Arial" w:hAnsi="Arial"/>
          <w:sz w:val="22"/>
        </w:rPr>
        <w:t>CPED</w:t>
      </w:r>
      <w:r w:rsidR="005F6082">
        <w:rPr>
          <w:rFonts w:ascii="Arial" w:hAnsi="Arial"/>
          <w:sz w:val="22"/>
        </w:rPr>
        <w:t xml:space="preserve"> or HRA financed project must submit a rehabilitation report performed or approved by a representative of the appropriate agency or a person approved by the agency.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5F6082">
        <w:rPr>
          <w:rFonts w:ascii="Arial" w:hAnsi="Arial"/>
          <w:sz w:val="22"/>
        </w:rPr>
        <w:t>21</w:t>
      </w:r>
      <w:r>
        <w:rPr>
          <w:rFonts w:ascii="Arial" w:hAnsi="Arial"/>
          <w:sz w:val="22"/>
        </w:rPr>
        <w:t>)</w:t>
      </w:r>
      <w:r w:rsidR="005F6082">
        <w:rPr>
          <w:rFonts w:ascii="Arial" w:hAnsi="Arial"/>
          <w:sz w:val="22"/>
        </w:rPr>
        <w:tab/>
        <w:t>Relocation Plan, if applicable.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E3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5F6082">
        <w:rPr>
          <w:rFonts w:ascii="Arial" w:hAnsi="Arial"/>
          <w:sz w:val="22"/>
        </w:rPr>
        <w:t>22</w:t>
      </w:r>
      <w:r>
        <w:rPr>
          <w:rFonts w:ascii="Arial" w:hAnsi="Arial"/>
          <w:sz w:val="22"/>
        </w:rPr>
        <w:t>)</w:t>
      </w:r>
      <w:r w:rsidR="005F6082">
        <w:rPr>
          <w:rFonts w:ascii="Arial" w:hAnsi="Arial"/>
          <w:sz w:val="22"/>
        </w:rPr>
        <w:tab/>
        <w:t>Letter of Support from the applicable neighborhood association.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5F6082">
        <w:rPr>
          <w:rFonts w:ascii="Arial" w:hAnsi="Arial"/>
          <w:sz w:val="22"/>
        </w:rPr>
        <w:t>23</w:t>
      </w:r>
      <w:r>
        <w:rPr>
          <w:rFonts w:ascii="Arial" w:hAnsi="Arial"/>
          <w:sz w:val="22"/>
        </w:rPr>
        <w:t>)</w:t>
      </w:r>
      <w:r w:rsidR="005F6082">
        <w:rPr>
          <w:rFonts w:ascii="Arial" w:hAnsi="Arial"/>
          <w:sz w:val="22"/>
        </w:rPr>
        <w:tab/>
      </w:r>
      <w:r w:rsidR="00E452D0">
        <w:rPr>
          <w:rFonts w:ascii="Arial" w:hAnsi="Arial"/>
          <w:sz w:val="22"/>
        </w:rPr>
        <w:t>Maintenance and Operating Expense Review and Underwriting Certification. (Exhibit X)</w:t>
      </w:r>
      <w:r w:rsidR="00905F2D">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FB0E28">
        <w:rPr>
          <w:rFonts w:ascii="Arial" w:hAnsi="Arial"/>
          <w:sz w:val="22"/>
        </w:rPr>
        <w:t>24</w:t>
      </w:r>
      <w:r>
        <w:rPr>
          <w:rFonts w:ascii="Arial" w:hAnsi="Arial"/>
          <w:sz w:val="22"/>
        </w:rPr>
        <w:t>)</w:t>
      </w:r>
      <w:r w:rsidR="00E452D0">
        <w:rPr>
          <w:rFonts w:ascii="Arial" w:hAnsi="Arial"/>
          <w:sz w:val="22"/>
        </w:rPr>
        <w:tab/>
        <w:t>Third-p</w:t>
      </w:r>
      <w:r w:rsidR="001A6D81">
        <w:rPr>
          <w:rFonts w:ascii="Arial" w:hAnsi="Arial"/>
          <w:sz w:val="22"/>
        </w:rPr>
        <w:t>arty comprehensive market study</w:t>
      </w:r>
      <w:r w:rsidR="00E452D0">
        <w:rPr>
          <w:rFonts w:ascii="Arial" w:hAnsi="Arial"/>
          <w:sz w:val="22"/>
        </w:rPr>
        <w:t xml:space="preserve"> of housing needs of low-income individuals in the area to be served by the project.</w:t>
      </w:r>
    </w:p>
    <w:p w:rsidR="008C1C9C" w:rsidRDefault="008C1C9C"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2D05E9" w:rsidRDefault="00BE3C09" w:rsidP="008C1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r>
        <w:rPr>
          <w:rFonts w:ascii="Arial" w:hAnsi="Arial"/>
          <w:sz w:val="22"/>
        </w:rPr>
        <w:t>(</w:t>
      </w:r>
      <w:r w:rsidR="00FB0E28">
        <w:rPr>
          <w:rFonts w:ascii="Arial" w:hAnsi="Arial"/>
          <w:sz w:val="22"/>
        </w:rPr>
        <w:t>25</w:t>
      </w:r>
      <w:r>
        <w:rPr>
          <w:rFonts w:ascii="Arial" w:hAnsi="Arial"/>
          <w:sz w:val="22"/>
        </w:rPr>
        <w:t>)</w:t>
      </w:r>
      <w:r w:rsidR="008C1C9C">
        <w:rPr>
          <w:rFonts w:ascii="Arial" w:hAnsi="Arial"/>
          <w:sz w:val="22"/>
        </w:rPr>
        <w:tab/>
        <w:t>Affirmative Fair Housing Marketing Plan (AFHMP) - Multifamily Housing (HUD-935.2A)</w:t>
      </w:r>
      <w:r w:rsidR="009A1FBC">
        <w:rPr>
          <w:rFonts w:ascii="Arial" w:hAnsi="Arial"/>
          <w:sz w:val="22"/>
        </w:rPr>
        <w:t xml:space="preserve"> (Exhibit Z)</w:t>
      </w:r>
      <w:r w:rsidR="00905F2D">
        <w:rPr>
          <w:rFonts w:ascii="Arial" w:hAnsi="Arial"/>
          <w:sz w:val="22"/>
        </w:rPr>
        <w:t>.</w:t>
      </w:r>
    </w:p>
    <w:p w:rsidR="002D05E9" w:rsidRDefault="002D05E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p>
    <w:p w:rsidR="002D05E9" w:rsidRPr="001D0604"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FB0E28">
        <w:rPr>
          <w:rFonts w:ascii="Arial" w:hAnsi="Arial"/>
          <w:sz w:val="22"/>
        </w:rPr>
        <w:t>26</w:t>
      </w:r>
      <w:r>
        <w:rPr>
          <w:rFonts w:ascii="Arial" w:hAnsi="Arial"/>
          <w:sz w:val="22"/>
        </w:rPr>
        <w:t>)</w:t>
      </w:r>
      <w:r w:rsidR="00905F2D">
        <w:rPr>
          <w:rFonts w:ascii="Arial" w:hAnsi="Arial"/>
          <w:sz w:val="22"/>
        </w:rPr>
        <w:tab/>
      </w:r>
      <w:r w:rsidR="002D05E9" w:rsidRPr="001D0604">
        <w:rPr>
          <w:rFonts w:ascii="Arial" w:hAnsi="Arial"/>
          <w:sz w:val="22"/>
        </w:rPr>
        <w:t>E</w:t>
      </w:r>
      <w:r w:rsidR="009A1FBC" w:rsidRPr="001D0604">
        <w:rPr>
          <w:rFonts w:ascii="Arial" w:hAnsi="Arial"/>
          <w:sz w:val="22"/>
        </w:rPr>
        <w:t>qual Employment Opportunity Policy Statement</w:t>
      </w:r>
      <w:r w:rsidR="00DA482C" w:rsidRPr="001D0604">
        <w:rPr>
          <w:rFonts w:ascii="Arial" w:hAnsi="Arial"/>
          <w:sz w:val="22"/>
        </w:rPr>
        <w:t xml:space="preserve"> (Exhibit AA)</w:t>
      </w:r>
      <w:r w:rsidR="00905F2D">
        <w:rPr>
          <w:rFonts w:ascii="Arial" w:hAnsi="Arial"/>
          <w:sz w:val="22"/>
        </w:rPr>
        <w:t>.</w:t>
      </w:r>
    </w:p>
    <w:p w:rsidR="006018E1" w:rsidRPr="001D0604" w:rsidRDefault="006018E1"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6018E1"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FB0E28">
        <w:rPr>
          <w:rFonts w:ascii="Arial" w:hAnsi="Arial"/>
          <w:sz w:val="22"/>
        </w:rPr>
        <w:t>27</w:t>
      </w:r>
      <w:r>
        <w:rPr>
          <w:rFonts w:ascii="Arial" w:hAnsi="Arial"/>
          <w:sz w:val="22"/>
        </w:rPr>
        <w:t>)</w:t>
      </w:r>
      <w:r w:rsidR="006018E1">
        <w:rPr>
          <w:rFonts w:ascii="Arial" w:hAnsi="Arial"/>
          <w:sz w:val="22"/>
        </w:rPr>
        <w:tab/>
        <w:t>Multifamily – Intended Methods Worksheet: MN Overlay to Green Communities (Exhibit A</w:t>
      </w:r>
      <w:r w:rsidR="00DA482C">
        <w:rPr>
          <w:rFonts w:ascii="Arial" w:hAnsi="Arial"/>
          <w:sz w:val="22"/>
        </w:rPr>
        <w:t>B</w:t>
      </w:r>
      <w:r w:rsidR="006018E1">
        <w:rPr>
          <w:rFonts w:ascii="Arial" w:hAnsi="Arial"/>
          <w:sz w:val="22"/>
        </w:rPr>
        <w:t>)</w:t>
      </w:r>
      <w:r w:rsidR="00905F2D">
        <w:rPr>
          <w:rFonts w:ascii="Arial" w:hAnsi="Arial"/>
          <w:sz w:val="22"/>
        </w:rPr>
        <w:t>.</w:t>
      </w:r>
    </w:p>
    <w:p w:rsidR="00957700" w:rsidRDefault="0095770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95770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957700">
        <w:rPr>
          <w:rFonts w:ascii="Arial" w:hAnsi="Arial"/>
          <w:sz w:val="22"/>
        </w:rPr>
        <w:t>28</w:t>
      </w:r>
      <w:r>
        <w:rPr>
          <w:rFonts w:ascii="Arial" w:hAnsi="Arial"/>
          <w:sz w:val="22"/>
        </w:rPr>
        <w:t>)</w:t>
      </w:r>
      <w:r w:rsidR="00957700">
        <w:rPr>
          <w:rFonts w:ascii="Arial" w:hAnsi="Arial"/>
          <w:sz w:val="22"/>
        </w:rPr>
        <w:tab/>
        <w:t>Election of Applicable Rent Floor (Minnesota Housing Form LIHC-26 Exhibit</w:t>
      </w:r>
      <w:r w:rsidR="00905F2D">
        <w:rPr>
          <w:rFonts w:ascii="Arial" w:hAnsi="Arial"/>
          <w:sz w:val="22"/>
        </w:rPr>
        <w:t> </w:t>
      </w:r>
      <w:r w:rsidR="00957700">
        <w:rPr>
          <w:rFonts w:ascii="Arial" w:hAnsi="Arial"/>
          <w:sz w:val="22"/>
        </w:rPr>
        <w:t>W)</w:t>
      </w:r>
      <w:r w:rsidR="00905F2D">
        <w:rPr>
          <w:rFonts w:ascii="Arial" w:hAnsi="Arial"/>
          <w:sz w:val="22"/>
        </w:rPr>
        <w:t>.</w:t>
      </w:r>
    </w:p>
    <w:p w:rsidR="00E452D0" w:rsidRDefault="00E452D0" w:rsidP="00905F2D">
      <w:pPr>
        <w:pStyle w:val="Heading2"/>
        <w:spacing w:after="240"/>
        <w:ind w:left="720"/>
        <w:rPr>
          <w:rFonts w:ascii="Arial" w:hAnsi="Arial"/>
          <w:noProof/>
          <w:sz w:val="22"/>
        </w:rPr>
      </w:pPr>
      <w:bookmarkStart w:id="55" w:name="_Toc511903033"/>
      <w:r w:rsidRPr="00E03091">
        <w:rPr>
          <w:rFonts w:ascii="Arial" w:hAnsi="Arial"/>
          <w:i w:val="0"/>
          <w:sz w:val="22"/>
        </w:rPr>
        <w:t>B.</w:t>
      </w:r>
      <w:r w:rsidRPr="00E03091">
        <w:rPr>
          <w:rFonts w:ascii="Arial" w:hAnsi="Arial"/>
          <w:i w:val="0"/>
          <w:sz w:val="22"/>
        </w:rPr>
        <w:tab/>
        <w:t xml:space="preserve">Submission Requirements for </w:t>
      </w:r>
      <w:r w:rsidR="00FB0E28">
        <w:rPr>
          <w:rFonts w:ascii="Arial" w:hAnsi="Arial"/>
          <w:i w:val="0"/>
          <w:sz w:val="22"/>
        </w:rPr>
        <w:t>Projects</w:t>
      </w:r>
      <w:r w:rsidR="00477415">
        <w:rPr>
          <w:rFonts w:ascii="Arial" w:hAnsi="Arial"/>
          <w:i w:val="0"/>
          <w:sz w:val="22"/>
        </w:rPr>
        <w:t xml:space="preserve"> Financed with</w:t>
      </w:r>
      <w:r w:rsidRPr="00E03091">
        <w:rPr>
          <w:rFonts w:ascii="Arial" w:hAnsi="Arial"/>
          <w:i w:val="0"/>
          <w:sz w:val="22"/>
        </w:rPr>
        <w:t xml:space="preserve"> Tax-Exempt Bonds</w:t>
      </w:r>
      <w:bookmarkEnd w:id="55"/>
    </w:p>
    <w:p w:rsidR="00E452D0" w:rsidRDefault="00BE3C09" w:rsidP="00957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E452D0">
        <w:rPr>
          <w:rFonts w:ascii="Arial" w:hAnsi="Arial"/>
          <w:noProof/>
          <w:sz w:val="22"/>
        </w:rPr>
        <w:t>1</w:t>
      </w:r>
      <w:r>
        <w:rPr>
          <w:rFonts w:ascii="Arial" w:hAnsi="Arial"/>
          <w:noProof/>
          <w:sz w:val="22"/>
        </w:rPr>
        <w:t>)</w:t>
      </w:r>
      <w:r w:rsidR="00E452D0">
        <w:rPr>
          <w:rFonts w:ascii="Arial" w:hAnsi="Arial"/>
          <w:sz w:val="22"/>
        </w:rPr>
        <w:tab/>
        <w:t>A check</w:t>
      </w:r>
      <w:r w:rsidR="00957700">
        <w:rPr>
          <w:rFonts w:ascii="Arial" w:hAnsi="Arial"/>
          <w:sz w:val="22"/>
        </w:rPr>
        <w:t xml:space="preserve"> for the appropriate Allocation Fee (See Section VIII) is required with the submission of the Application.  </w:t>
      </w:r>
    </w:p>
    <w:p w:rsidR="00957700" w:rsidRDefault="00957700" w:rsidP="00957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95770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E452D0">
        <w:rPr>
          <w:rFonts w:ascii="Arial" w:hAnsi="Arial"/>
          <w:noProof/>
          <w:sz w:val="22"/>
        </w:rPr>
        <w:t>2</w:t>
      </w:r>
      <w:r>
        <w:rPr>
          <w:rFonts w:ascii="Arial" w:hAnsi="Arial"/>
          <w:noProof/>
          <w:sz w:val="22"/>
        </w:rPr>
        <w:t>)</w:t>
      </w:r>
      <w:r w:rsidR="00E452D0">
        <w:rPr>
          <w:rFonts w:ascii="Arial" w:hAnsi="Arial"/>
          <w:sz w:val="22"/>
        </w:rPr>
        <w:tab/>
      </w:r>
      <w:r w:rsidR="00957700">
        <w:rPr>
          <w:rFonts w:ascii="Arial" w:hAnsi="Arial"/>
          <w:sz w:val="22"/>
        </w:rPr>
        <w:t>A check for the appropriate Special Counsel Fee (See Section VIII).</w:t>
      </w:r>
    </w:p>
    <w:p w:rsidR="00957700" w:rsidRDefault="0095770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957700">
        <w:rPr>
          <w:rFonts w:ascii="Arial" w:hAnsi="Arial"/>
          <w:sz w:val="22"/>
        </w:rPr>
        <w:t>3</w:t>
      </w:r>
      <w:r>
        <w:rPr>
          <w:rFonts w:ascii="Arial" w:hAnsi="Arial"/>
          <w:sz w:val="22"/>
        </w:rPr>
        <w:t>)</w:t>
      </w:r>
      <w:r w:rsidR="00957700">
        <w:rPr>
          <w:rFonts w:ascii="Arial" w:hAnsi="Arial"/>
          <w:sz w:val="22"/>
        </w:rPr>
        <w:tab/>
      </w:r>
      <w:r w:rsidR="00E452D0">
        <w:rPr>
          <w:rFonts w:ascii="Arial" w:hAnsi="Arial"/>
          <w:sz w:val="22"/>
        </w:rPr>
        <w:t xml:space="preserve">Opinion of Counsel </w:t>
      </w:r>
      <w:r w:rsidR="00FB0E28">
        <w:rPr>
          <w:rFonts w:ascii="Arial" w:hAnsi="Arial"/>
          <w:sz w:val="22"/>
        </w:rPr>
        <w:t>in the form of Exhibit</w:t>
      </w:r>
      <w:r w:rsidR="00905F2D">
        <w:rPr>
          <w:rFonts w:ascii="Arial" w:hAnsi="Arial"/>
          <w:sz w:val="22"/>
        </w:rPr>
        <w:t> </w:t>
      </w:r>
      <w:r w:rsidR="00FB0E28">
        <w:rPr>
          <w:rFonts w:ascii="Arial" w:hAnsi="Arial"/>
          <w:sz w:val="22"/>
        </w:rPr>
        <w:t>B</w:t>
      </w:r>
      <w:r w:rsidR="00E452D0">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4</w:t>
      </w:r>
      <w:r>
        <w:rPr>
          <w:rFonts w:ascii="Arial" w:hAnsi="Arial"/>
          <w:noProof/>
          <w:sz w:val="22"/>
        </w:rPr>
        <w:t>)</w:t>
      </w:r>
      <w:r w:rsidR="00957700">
        <w:rPr>
          <w:rFonts w:ascii="Arial" w:hAnsi="Arial"/>
          <w:sz w:val="22"/>
        </w:rPr>
        <w:tab/>
        <w:t xml:space="preserve">Completed Minnesota Housing </w:t>
      </w:r>
      <w:r w:rsidR="004A64C8">
        <w:rPr>
          <w:rFonts w:ascii="Arial" w:hAnsi="Arial"/>
          <w:sz w:val="22"/>
        </w:rPr>
        <w:t>Common Application Form,</w:t>
      </w:r>
      <w:r w:rsidR="00E452D0">
        <w:rPr>
          <w:rFonts w:ascii="Arial" w:hAnsi="Arial"/>
          <w:sz w:val="22"/>
        </w:rPr>
        <w:t xml:space="preserve"> Application for Tax Credits, signed by at least one general partner involved in this project (Exhibit I).  An incomplete or computer generated </w:t>
      </w:r>
      <w:r w:rsidR="00957700">
        <w:rPr>
          <w:rFonts w:ascii="Arial" w:hAnsi="Arial"/>
          <w:sz w:val="22"/>
        </w:rPr>
        <w:t>Minnesota Housing</w:t>
      </w:r>
      <w:r w:rsidR="004A64C8">
        <w:rPr>
          <w:rFonts w:ascii="Arial" w:hAnsi="Arial"/>
          <w:sz w:val="22"/>
        </w:rPr>
        <w:t xml:space="preserve"> Common Application </w:t>
      </w:r>
      <w:r w:rsidR="00E452D0">
        <w:rPr>
          <w:rFonts w:ascii="Arial" w:hAnsi="Arial"/>
          <w:sz w:val="22"/>
        </w:rPr>
        <w:t>Form will not be accepted and will be returned to the applicant.</w:t>
      </w:r>
      <w:r w:rsidR="0009009C">
        <w:rPr>
          <w:rFonts w:ascii="Arial" w:hAnsi="Arial"/>
          <w:sz w:val="22"/>
        </w:rPr>
        <w:t xml:space="preserve">  N</w:t>
      </w:r>
      <w:r w:rsidR="00957700">
        <w:rPr>
          <w:rFonts w:ascii="Arial" w:hAnsi="Arial"/>
          <w:sz w:val="22"/>
        </w:rPr>
        <w:t xml:space="preserve">OTE: Applicant must also submit Minnesota Housing </w:t>
      </w:r>
      <w:r w:rsidR="004A64C8">
        <w:rPr>
          <w:rFonts w:ascii="Arial" w:hAnsi="Arial"/>
          <w:sz w:val="22"/>
        </w:rPr>
        <w:t xml:space="preserve">Common Application Form </w:t>
      </w:r>
      <w:r w:rsidR="0009009C">
        <w:rPr>
          <w:rFonts w:ascii="Arial" w:hAnsi="Arial"/>
          <w:sz w:val="22"/>
        </w:rPr>
        <w:t xml:space="preserve">in its original electronic XLS format. </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5</w:t>
      </w:r>
      <w:r>
        <w:rPr>
          <w:rFonts w:ascii="Arial" w:hAnsi="Arial"/>
          <w:noProof/>
          <w:sz w:val="22"/>
        </w:rPr>
        <w:t>)</w:t>
      </w:r>
      <w:r w:rsidR="00E452D0">
        <w:rPr>
          <w:rFonts w:ascii="Arial" w:hAnsi="Arial"/>
          <w:sz w:val="22"/>
        </w:rPr>
        <w:tab/>
        <w:t xml:space="preserve">Original photographs </w:t>
      </w:r>
      <w:r w:rsidR="00355F2E">
        <w:rPr>
          <w:rFonts w:ascii="Arial" w:hAnsi="Arial"/>
          <w:sz w:val="22"/>
        </w:rPr>
        <w:t xml:space="preserve">of the </w:t>
      </w:r>
      <w:r w:rsidR="00E452D0">
        <w:rPr>
          <w:rFonts w:ascii="Arial" w:hAnsi="Arial"/>
          <w:sz w:val="22"/>
        </w:rPr>
        <w:t xml:space="preserve">exterior and interior </w:t>
      </w:r>
      <w:r w:rsidR="00355F2E">
        <w:rPr>
          <w:rFonts w:ascii="Arial" w:hAnsi="Arial"/>
          <w:sz w:val="22"/>
        </w:rPr>
        <w:t xml:space="preserve">walls </w:t>
      </w:r>
      <w:r w:rsidR="00E452D0">
        <w:rPr>
          <w:rFonts w:ascii="Arial" w:hAnsi="Arial"/>
          <w:sz w:val="22"/>
        </w:rPr>
        <w:t xml:space="preserve">of </w:t>
      </w:r>
      <w:r w:rsidR="00355F2E">
        <w:rPr>
          <w:rFonts w:ascii="Arial" w:hAnsi="Arial"/>
          <w:sz w:val="22"/>
        </w:rPr>
        <w:t xml:space="preserve">each </w:t>
      </w:r>
      <w:r w:rsidR="00E452D0">
        <w:rPr>
          <w:rFonts w:ascii="Arial" w:hAnsi="Arial"/>
          <w:sz w:val="22"/>
        </w:rPr>
        <w:t xml:space="preserve">building, if </w:t>
      </w:r>
      <w:r w:rsidR="00E452D0">
        <w:rPr>
          <w:rFonts w:ascii="Arial" w:hAnsi="Arial"/>
          <w:sz w:val="22"/>
        </w:rPr>
        <w:lastRenderedPageBreak/>
        <w:t xml:space="preserve">existing, or </w:t>
      </w:r>
      <w:r w:rsidR="00FB0E28">
        <w:rPr>
          <w:rFonts w:ascii="Arial" w:hAnsi="Arial"/>
          <w:sz w:val="22"/>
        </w:rPr>
        <w:t xml:space="preserve">of the </w:t>
      </w:r>
      <w:r w:rsidR="00E452D0">
        <w:rPr>
          <w:rFonts w:ascii="Arial" w:hAnsi="Arial"/>
          <w:sz w:val="22"/>
        </w:rPr>
        <w:t>site and surrounding area, if new construction.</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E3C09"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6</w:t>
      </w:r>
      <w:r>
        <w:rPr>
          <w:rFonts w:ascii="Arial" w:hAnsi="Arial"/>
          <w:noProof/>
          <w:sz w:val="22"/>
        </w:rPr>
        <w:t>)</w:t>
      </w:r>
      <w:r w:rsidR="00E452D0">
        <w:rPr>
          <w:rFonts w:ascii="Arial" w:hAnsi="Arial"/>
          <w:sz w:val="22"/>
        </w:rPr>
        <w:tab/>
        <w:t xml:space="preserve">Evidence of Site Control.  Evidence of title or adequate site control must be submitted with the application.  Acceptable evidence includes the following: warranty deed, </w:t>
      </w:r>
      <w:r w:rsidR="00193858">
        <w:rPr>
          <w:rFonts w:ascii="Arial" w:hAnsi="Arial"/>
          <w:sz w:val="22"/>
        </w:rPr>
        <w:t>p</w:t>
      </w:r>
      <w:r w:rsidR="00E452D0">
        <w:rPr>
          <w:rFonts w:ascii="Arial" w:hAnsi="Arial"/>
          <w:sz w:val="22"/>
        </w:rPr>
        <w:t>urchase contract, option</w:t>
      </w:r>
      <w:r w:rsidR="00193858">
        <w:rPr>
          <w:rFonts w:ascii="Arial" w:hAnsi="Arial"/>
          <w:sz w:val="22"/>
        </w:rPr>
        <w:t xml:space="preserve"> contract</w:t>
      </w:r>
      <w:r w:rsidR="00E452D0">
        <w:rPr>
          <w:rFonts w:ascii="Arial" w:hAnsi="Arial"/>
          <w:sz w:val="22"/>
        </w:rPr>
        <w:t xml:space="preserve">, or letter of intent from governmental body for sole developer, etc.  The evidence of site control must be current and extend to </w:t>
      </w:r>
      <w:r w:rsidR="00193858">
        <w:rPr>
          <w:rFonts w:ascii="Arial" w:hAnsi="Arial"/>
          <w:sz w:val="22"/>
        </w:rPr>
        <w:t xml:space="preserve">the </w:t>
      </w:r>
      <w:r w:rsidR="00E452D0">
        <w:rPr>
          <w:rFonts w:ascii="Arial" w:hAnsi="Arial"/>
          <w:sz w:val="22"/>
        </w:rPr>
        <w:t xml:space="preserve">anticipated date of "placed in service" or provisions for extension provided.  For </w:t>
      </w:r>
      <w:r w:rsidR="001A6D81">
        <w:rPr>
          <w:rFonts w:ascii="Arial" w:hAnsi="Arial"/>
          <w:sz w:val="22"/>
        </w:rPr>
        <w:t xml:space="preserve">HTC </w:t>
      </w:r>
      <w:r w:rsidR="00E452D0">
        <w:rPr>
          <w:rFonts w:ascii="Arial" w:hAnsi="Arial"/>
          <w:sz w:val="22"/>
        </w:rPr>
        <w:t>allocation</w:t>
      </w:r>
      <w:r w:rsidR="001A6D81">
        <w:rPr>
          <w:rFonts w:ascii="Arial" w:hAnsi="Arial"/>
          <w:sz w:val="22"/>
        </w:rPr>
        <w:t>s</w:t>
      </w:r>
      <w:r w:rsidR="00E452D0">
        <w:rPr>
          <w:rFonts w:ascii="Arial" w:hAnsi="Arial"/>
          <w:sz w:val="22"/>
        </w:rPr>
        <w:t>, an attorney's opinion that the applicant has ownership of the property as required and in accordance with</w:t>
      </w:r>
      <w:r w:rsidR="00FB0E28">
        <w:rPr>
          <w:rFonts w:ascii="Arial" w:hAnsi="Arial"/>
          <w:sz w:val="22"/>
        </w:rPr>
        <w:t xml:space="preserve"> </w:t>
      </w:r>
      <w:r w:rsidR="00E452D0">
        <w:rPr>
          <w:rFonts w:ascii="Arial" w:hAnsi="Arial"/>
          <w:sz w:val="22"/>
        </w:rPr>
        <w:t xml:space="preserve">Section 42 </w:t>
      </w:r>
      <w:r w:rsidR="001D7E91">
        <w:rPr>
          <w:rFonts w:ascii="Arial" w:hAnsi="Arial"/>
          <w:sz w:val="22"/>
        </w:rPr>
        <w:t xml:space="preserve">of the Code </w:t>
      </w:r>
      <w:r w:rsidR="00E452D0">
        <w:rPr>
          <w:rFonts w:ascii="Arial" w:hAnsi="Arial"/>
          <w:sz w:val="22"/>
        </w:rPr>
        <w:t xml:space="preserve">will be required.  Owners should be cautioned that </w:t>
      </w:r>
      <w:r w:rsidR="001A6D81">
        <w:rPr>
          <w:rFonts w:ascii="Arial" w:hAnsi="Arial"/>
          <w:sz w:val="22"/>
        </w:rPr>
        <w:t>R</w:t>
      </w:r>
      <w:r>
        <w:rPr>
          <w:rFonts w:ascii="Arial" w:hAnsi="Arial"/>
          <w:sz w:val="22"/>
        </w:rPr>
        <w:t>e</w:t>
      </w:r>
      <w:r w:rsidR="001A6D81">
        <w:rPr>
          <w:rFonts w:ascii="Arial" w:hAnsi="Arial"/>
          <w:sz w:val="22"/>
        </w:rPr>
        <w:t>servations</w:t>
      </w:r>
      <w:r w:rsidR="00E452D0">
        <w:rPr>
          <w:rFonts w:ascii="Arial" w:hAnsi="Arial"/>
          <w:sz w:val="22"/>
        </w:rPr>
        <w:t xml:space="preserve"> are site specific and the entire described property is subject to the terms a</w:t>
      </w:r>
      <w:r w:rsidR="00193858">
        <w:rPr>
          <w:rFonts w:ascii="Arial" w:hAnsi="Arial"/>
          <w:sz w:val="22"/>
        </w:rPr>
        <w:t>nd covenants of the Declaration</w:t>
      </w:r>
      <w:r w:rsidR="00E452D0">
        <w:rPr>
          <w:rFonts w:ascii="Arial" w:hAnsi="Arial"/>
          <w:sz w:val="22"/>
        </w:rPr>
        <w:t xml:space="preserve">.  Loss of site control will result in cancellation of </w:t>
      </w:r>
      <w:r w:rsidR="001A6D81">
        <w:rPr>
          <w:rFonts w:ascii="Arial" w:hAnsi="Arial"/>
          <w:sz w:val="22"/>
        </w:rPr>
        <w:t>the</w:t>
      </w:r>
      <w:r w:rsidR="00E452D0">
        <w:rPr>
          <w:rFonts w:ascii="Arial" w:hAnsi="Arial"/>
          <w:sz w:val="22"/>
        </w:rPr>
        <w:t xml:space="preserve"> </w:t>
      </w:r>
      <w:r w:rsidR="00905F2D">
        <w:rPr>
          <w:rFonts w:ascii="Arial" w:hAnsi="Arial"/>
          <w:sz w:val="22"/>
        </w:rPr>
        <w:t>R</w:t>
      </w:r>
      <w:r w:rsidR="00E452D0">
        <w:rPr>
          <w:rFonts w:ascii="Arial" w:hAnsi="Arial"/>
          <w:sz w:val="22"/>
        </w:rPr>
        <w:t>eservation or Carryover</w:t>
      </w:r>
      <w:r w:rsidR="00193858">
        <w:rPr>
          <w:rFonts w:ascii="Arial" w:hAnsi="Arial"/>
          <w:sz w:val="22"/>
        </w:rPr>
        <w:t xml:space="preserve"> Allocation</w:t>
      </w:r>
      <w:r w:rsidR="00E452D0">
        <w:rPr>
          <w:rFonts w:ascii="Arial" w:hAnsi="Arial"/>
          <w:sz w:val="22"/>
        </w:rPr>
        <w:t xml:space="preserve">.  </w:t>
      </w:r>
      <w:r w:rsidR="00350A65">
        <w:rPr>
          <w:rFonts w:ascii="Arial" w:hAnsi="Arial"/>
          <w:sz w:val="22"/>
        </w:rPr>
        <w:t>CPED</w:t>
      </w:r>
      <w:r w:rsidR="00E452D0">
        <w:rPr>
          <w:rFonts w:ascii="Arial" w:hAnsi="Arial"/>
          <w:sz w:val="22"/>
        </w:rPr>
        <w:t xml:space="preserve"> and HRA will not accept applications from different applicants for the same site.</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7</w:t>
      </w:r>
      <w:r>
        <w:rPr>
          <w:rFonts w:ascii="Arial" w:hAnsi="Arial"/>
          <w:noProof/>
          <w:sz w:val="22"/>
        </w:rPr>
        <w:t>)</w:t>
      </w:r>
      <w:r w:rsidR="00E452D0">
        <w:rPr>
          <w:rFonts w:ascii="Arial" w:hAnsi="Arial"/>
          <w:sz w:val="22"/>
        </w:rPr>
        <w:tab/>
        <w:t>Legal description of land (not property tax ID number) on separate 8-1/2" by</w:t>
      </w:r>
      <w:r w:rsidR="001D0604">
        <w:rPr>
          <w:rFonts w:ascii="Arial" w:hAnsi="Arial"/>
          <w:sz w:val="22"/>
        </w:rPr>
        <w:t xml:space="preserve"> </w:t>
      </w:r>
      <w:r w:rsidR="00E452D0">
        <w:rPr>
          <w:rFonts w:ascii="Arial" w:hAnsi="Arial"/>
          <w:sz w:val="22"/>
        </w:rPr>
        <w:t>11" sheet of paper and labeled "Exhibit A".</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8</w:t>
      </w:r>
      <w:r>
        <w:rPr>
          <w:rFonts w:ascii="Arial" w:hAnsi="Arial"/>
          <w:noProof/>
          <w:sz w:val="22"/>
        </w:rPr>
        <w:t>)</w:t>
      </w:r>
      <w:r w:rsidR="00E452D0">
        <w:rPr>
          <w:rFonts w:ascii="Arial" w:hAnsi="Arial"/>
          <w:sz w:val="22"/>
        </w:rPr>
        <w:tab/>
        <w:t>Status of zoning.  Letter from a local zoning official identifying the develop</w:t>
      </w:r>
      <w:r w:rsidR="003B17A2">
        <w:rPr>
          <w:rFonts w:ascii="Arial" w:hAnsi="Arial"/>
          <w:sz w:val="22"/>
        </w:rPr>
        <w:t>ment</w:t>
      </w:r>
      <w:r w:rsidR="00E452D0">
        <w:rPr>
          <w:rFonts w:ascii="Arial" w:hAnsi="Arial"/>
          <w:sz w:val="22"/>
        </w:rPr>
        <w:t xml:space="preserve">, number of units, stories, and </w:t>
      </w:r>
      <w:r w:rsidR="001D0604">
        <w:rPr>
          <w:rFonts w:ascii="Arial" w:hAnsi="Arial"/>
          <w:sz w:val="22"/>
        </w:rPr>
        <w:t>on-site</w:t>
      </w:r>
      <w:r w:rsidR="00E452D0">
        <w:rPr>
          <w:rFonts w:ascii="Arial" w:hAnsi="Arial"/>
          <w:sz w:val="22"/>
        </w:rPr>
        <w:t xml:space="preserve"> parking spaces, and stating the current zoning of the land.  If measures need to be taken to change the status of zoning, please indicate.  (Exhibit K)</w:t>
      </w:r>
      <w:r w:rsidR="00905F2D">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957700">
        <w:rPr>
          <w:rFonts w:ascii="Arial" w:hAnsi="Arial"/>
          <w:noProof/>
          <w:sz w:val="22"/>
        </w:rPr>
        <w:t>9</w:t>
      </w:r>
      <w:r>
        <w:rPr>
          <w:rFonts w:ascii="Arial" w:hAnsi="Arial"/>
          <w:noProof/>
          <w:sz w:val="22"/>
        </w:rPr>
        <w:t>)</w:t>
      </w:r>
      <w:r w:rsidR="00E452D0">
        <w:rPr>
          <w:rFonts w:ascii="Arial" w:hAnsi="Arial"/>
          <w:sz w:val="22"/>
        </w:rPr>
        <w:tab/>
        <w:t>Proposed sources of funds.  In the form of a letter of intent, commitment, etc. that states terms, conditions (including dollar amount, number of years, interest rate, debt service coverage, etc.).  Application</w:t>
      </w:r>
      <w:r w:rsidR="00E95873">
        <w:rPr>
          <w:rFonts w:ascii="Arial" w:hAnsi="Arial"/>
          <w:sz w:val="22"/>
        </w:rPr>
        <w:t>s</w:t>
      </w:r>
      <w:r w:rsidR="00E452D0">
        <w:rPr>
          <w:rFonts w:ascii="Arial" w:hAnsi="Arial"/>
          <w:sz w:val="22"/>
        </w:rPr>
        <w:t xml:space="preserve"> will not be accepted without </w:t>
      </w:r>
      <w:r w:rsidR="005640F6">
        <w:rPr>
          <w:rFonts w:ascii="Arial" w:hAnsi="Arial"/>
          <w:sz w:val="22"/>
        </w:rPr>
        <w:t xml:space="preserve">financing </w:t>
      </w:r>
      <w:r w:rsidR="00E452D0">
        <w:rPr>
          <w:rFonts w:ascii="Arial" w:hAnsi="Arial"/>
          <w:sz w:val="22"/>
        </w:rPr>
        <w:t>terms.</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(a)</w:t>
      </w:r>
      <w:r w:rsidR="00193858">
        <w:rPr>
          <w:rFonts w:ascii="Arial" w:hAnsi="Arial"/>
          <w:sz w:val="22"/>
        </w:rPr>
        <w:tab/>
        <w:t>Construction financing - commitment</w:t>
      </w:r>
      <w:r>
        <w:rPr>
          <w:rFonts w:ascii="Arial" w:hAnsi="Arial"/>
          <w:sz w:val="22"/>
        </w:rPr>
        <w:t xml:space="preserve"> from </w:t>
      </w:r>
      <w:r w:rsidR="00193858">
        <w:rPr>
          <w:rFonts w:ascii="Arial" w:hAnsi="Arial"/>
          <w:sz w:val="22"/>
        </w:rPr>
        <w:t xml:space="preserve">the </w:t>
      </w:r>
      <w:r>
        <w:rPr>
          <w:rFonts w:ascii="Arial" w:hAnsi="Arial"/>
          <w:sz w:val="22"/>
        </w:rPr>
        <w:t>lender;</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193858"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Pr>
          <w:rFonts w:ascii="Arial" w:hAnsi="Arial"/>
          <w:sz w:val="22"/>
        </w:rPr>
        <w:tab/>
        <w:t xml:space="preserve">Permanent financing - </w:t>
      </w:r>
      <w:r w:rsidR="00234655">
        <w:rPr>
          <w:rFonts w:ascii="Arial" w:hAnsi="Arial"/>
          <w:sz w:val="22"/>
        </w:rPr>
        <w:t>commitment</w:t>
      </w:r>
      <w:r w:rsidR="00E452D0">
        <w:rPr>
          <w:rFonts w:ascii="Arial" w:hAnsi="Arial"/>
          <w:sz w:val="22"/>
        </w:rPr>
        <w:t xml:space="preserve"> from lender (for FMHA Projects AD622 and letter of conditions);</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(c)</w:t>
      </w:r>
      <w:r>
        <w:rPr>
          <w:rFonts w:ascii="Arial" w:hAnsi="Arial"/>
          <w:sz w:val="22"/>
        </w:rPr>
        <w:tab/>
        <w:t xml:space="preserve">Secondary financing - letter from </w:t>
      </w:r>
      <w:r w:rsidR="00193858">
        <w:rPr>
          <w:rFonts w:ascii="Arial" w:hAnsi="Arial"/>
          <w:sz w:val="22"/>
        </w:rPr>
        <w:t xml:space="preserve">the </w:t>
      </w:r>
      <w:r>
        <w:rPr>
          <w:rFonts w:ascii="Arial" w:hAnsi="Arial"/>
          <w:sz w:val="22"/>
        </w:rPr>
        <w:t>lender;</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(d)</w:t>
      </w:r>
      <w:r>
        <w:rPr>
          <w:rFonts w:ascii="Arial" w:hAnsi="Arial"/>
          <w:sz w:val="22"/>
        </w:rPr>
        <w:tab/>
        <w:t>Grants - letter from granting authority;</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(e)</w:t>
      </w:r>
      <w:r>
        <w:rPr>
          <w:rFonts w:ascii="Arial" w:hAnsi="Arial"/>
          <w:sz w:val="22"/>
        </w:rPr>
        <w:tab/>
        <w:t>Syndication proceeds</w:t>
      </w:r>
      <w:r w:rsidR="00193858">
        <w:rPr>
          <w:rFonts w:ascii="Arial" w:hAnsi="Arial"/>
          <w:sz w:val="22"/>
        </w:rPr>
        <w:t xml:space="preserve"> – commitment from the investor</w:t>
      </w:r>
      <w:r>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(f)</w:t>
      </w:r>
      <w:r>
        <w:rPr>
          <w:rFonts w:ascii="Arial" w:hAnsi="Arial"/>
          <w:sz w:val="22"/>
        </w:rPr>
        <w:tab/>
        <w:t>Other sources of funds, including any federal, state, local and private subsidies.</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10</w:t>
      </w:r>
      <w:r>
        <w:rPr>
          <w:rFonts w:ascii="Arial" w:hAnsi="Arial"/>
          <w:noProof/>
          <w:sz w:val="22"/>
        </w:rPr>
        <w:t>)</w:t>
      </w:r>
      <w:r w:rsidR="00E452D0">
        <w:rPr>
          <w:rFonts w:ascii="Arial" w:hAnsi="Arial"/>
          <w:sz w:val="22"/>
        </w:rPr>
        <w:tab/>
        <w:t>Project Team resumes.  One page maximum per individual, current within six months.  Complete and attach to front of the submission Exhibit M (LIHC-19).</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11</w:t>
      </w:r>
      <w:r>
        <w:rPr>
          <w:rFonts w:ascii="Arial" w:hAnsi="Arial"/>
          <w:noProof/>
          <w:sz w:val="22"/>
        </w:rPr>
        <w:t>)</w:t>
      </w:r>
      <w:r w:rsidR="00E452D0">
        <w:rPr>
          <w:rFonts w:ascii="Arial" w:hAnsi="Arial"/>
          <w:sz w:val="22"/>
        </w:rPr>
        <w:tab/>
        <w:t>Previous participation.  Complete in full Exhibit L (LIHC-17).</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12</w:t>
      </w:r>
      <w:r>
        <w:rPr>
          <w:rFonts w:ascii="Arial" w:hAnsi="Arial"/>
          <w:noProof/>
          <w:sz w:val="22"/>
        </w:rPr>
        <w:t>)</w:t>
      </w:r>
      <w:r w:rsidR="00E452D0">
        <w:rPr>
          <w:rFonts w:ascii="Arial" w:hAnsi="Arial"/>
          <w:sz w:val="22"/>
        </w:rPr>
        <w:tab/>
        <w:t>Agreement to utilize Public Waiting List, Exhibit J (LIHC-11).</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lastRenderedPageBreak/>
        <w:t>(</w:t>
      </w:r>
      <w:r w:rsidR="00DD250B">
        <w:rPr>
          <w:rFonts w:ascii="Arial" w:hAnsi="Arial"/>
          <w:noProof/>
          <w:sz w:val="22"/>
        </w:rPr>
        <w:t>13</w:t>
      </w:r>
      <w:r>
        <w:rPr>
          <w:rFonts w:ascii="Arial" w:hAnsi="Arial"/>
          <w:noProof/>
          <w:sz w:val="22"/>
        </w:rPr>
        <w:t>)</w:t>
      </w:r>
      <w:r w:rsidR="00E452D0">
        <w:rPr>
          <w:rFonts w:ascii="Arial" w:hAnsi="Arial"/>
          <w:sz w:val="22"/>
        </w:rPr>
        <w:tab/>
        <w:t xml:space="preserve">Calculation of </w:t>
      </w:r>
      <w:r w:rsidR="005640F6">
        <w:rPr>
          <w:rFonts w:ascii="Arial" w:hAnsi="Arial"/>
          <w:sz w:val="22"/>
        </w:rPr>
        <w:t>HTC</w:t>
      </w:r>
      <w:r w:rsidR="00E452D0">
        <w:rPr>
          <w:rFonts w:ascii="Arial" w:hAnsi="Arial"/>
          <w:sz w:val="22"/>
        </w:rPr>
        <w:t xml:space="preserve">, Exhibit I (LIHC-8 &amp; </w:t>
      </w:r>
      <w:r w:rsidR="00DD250B">
        <w:rPr>
          <w:rFonts w:ascii="Arial" w:hAnsi="Arial"/>
          <w:sz w:val="22"/>
        </w:rPr>
        <w:t xml:space="preserve">Minnesota Housing </w:t>
      </w:r>
      <w:r w:rsidR="00BE7B7D">
        <w:rPr>
          <w:rFonts w:ascii="Arial" w:hAnsi="Arial"/>
          <w:sz w:val="22"/>
        </w:rPr>
        <w:t>Common Application Form</w:t>
      </w:r>
      <w:r w:rsidR="00E452D0">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14</w:t>
      </w:r>
      <w:r>
        <w:rPr>
          <w:rFonts w:ascii="Arial" w:hAnsi="Arial"/>
          <w:noProof/>
          <w:sz w:val="22"/>
        </w:rPr>
        <w:t>)</w:t>
      </w:r>
      <w:r w:rsidR="00E452D0">
        <w:rPr>
          <w:rFonts w:ascii="Arial" w:hAnsi="Arial"/>
          <w:sz w:val="22"/>
        </w:rPr>
        <w:tab/>
        <w:t>A 15-year after tax cash flow pro</w:t>
      </w:r>
      <w:r w:rsidR="002F3A22">
        <w:rPr>
          <w:rFonts w:ascii="Arial" w:hAnsi="Arial"/>
          <w:sz w:val="22"/>
        </w:rPr>
        <w:t xml:space="preserve"> </w:t>
      </w:r>
      <w:r w:rsidR="00E452D0">
        <w:rPr>
          <w:rFonts w:ascii="Arial" w:hAnsi="Arial"/>
          <w:sz w:val="22"/>
        </w:rPr>
        <w:t>forma (for five or more units).</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564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15</w:t>
      </w:r>
      <w:r>
        <w:rPr>
          <w:rFonts w:ascii="Arial" w:hAnsi="Arial"/>
          <w:noProof/>
          <w:sz w:val="22"/>
        </w:rPr>
        <w:t>)</w:t>
      </w:r>
      <w:r w:rsidR="00E452D0">
        <w:rPr>
          <w:rFonts w:ascii="Arial" w:hAnsi="Arial"/>
          <w:sz w:val="22"/>
        </w:rPr>
        <w:tab/>
        <w:t xml:space="preserve">If non-profit, </w:t>
      </w:r>
      <w:r w:rsidR="005640F6">
        <w:rPr>
          <w:rFonts w:ascii="Arial" w:hAnsi="Arial"/>
          <w:sz w:val="22"/>
        </w:rPr>
        <w:t>evidence</w:t>
      </w:r>
      <w:r w:rsidR="00E452D0">
        <w:rPr>
          <w:rFonts w:ascii="Arial" w:hAnsi="Arial"/>
          <w:sz w:val="22"/>
        </w:rPr>
        <w:t xml:space="preserve"> of </w:t>
      </w:r>
      <w:r w:rsidR="005640F6">
        <w:rPr>
          <w:rFonts w:ascii="Arial" w:hAnsi="Arial"/>
          <w:sz w:val="22"/>
        </w:rPr>
        <w:t xml:space="preserve">non-profit </w:t>
      </w:r>
      <w:r w:rsidR="00E452D0">
        <w:rPr>
          <w:rFonts w:ascii="Arial" w:hAnsi="Arial"/>
          <w:sz w:val="22"/>
        </w:rPr>
        <w:t xml:space="preserve">status </w:t>
      </w:r>
      <w:r w:rsidR="00905F2D">
        <w:rPr>
          <w:rFonts w:ascii="Arial" w:hAnsi="Arial"/>
          <w:sz w:val="22"/>
        </w:rPr>
        <w:t>from</w:t>
      </w:r>
      <w:r w:rsidR="00E452D0">
        <w:rPr>
          <w:rFonts w:ascii="Arial" w:hAnsi="Arial"/>
          <w:sz w:val="22"/>
        </w:rPr>
        <w:t xml:space="preserve"> IRS</w:t>
      </w:r>
      <w:r w:rsidR="005640F6">
        <w:rPr>
          <w:rFonts w:ascii="Arial" w:hAnsi="Arial"/>
          <w:sz w:val="22"/>
        </w:rPr>
        <w:t>.</w:t>
      </w:r>
    </w:p>
    <w:p w:rsidR="005640F6" w:rsidRDefault="005640F6" w:rsidP="00564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452D0" w:rsidRDefault="00B07AD5" w:rsidP="00DD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16</w:t>
      </w:r>
      <w:r>
        <w:rPr>
          <w:rFonts w:ascii="Arial" w:hAnsi="Arial"/>
          <w:noProof/>
          <w:sz w:val="22"/>
        </w:rPr>
        <w:t>)</w:t>
      </w:r>
      <w:r w:rsidR="00E452D0">
        <w:rPr>
          <w:rFonts w:ascii="Arial" w:hAnsi="Arial"/>
          <w:sz w:val="22"/>
        </w:rPr>
        <w:tab/>
        <w:t xml:space="preserve">Special Services.  For projects meeting the Threshold Requirement set forth in VIII.C.3 of the </w:t>
      </w:r>
      <w:r w:rsidR="007E665C">
        <w:rPr>
          <w:rFonts w:ascii="Arial" w:hAnsi="Arial"/>
          <w:sz w:val="22"/>
        </w:rPr>
        <w:t>QAP</w:t>
      </w:r>
      <w:r w:rsidR="00E452D0">
        <w:rPr>
          <w:rFonts w:ascii="Arial" w:hAnsi="Arial"/>
          <w:sz w:val="22"/>
        </w:rPr>
        <w:t xml:space="preserve">, evidence of such support must be provided to </w:t>
      </w:r>
      <w:r w:rsidR="00350A65">
        <w:rPr>
          <w:rFonts w:ascii="Arial" w:hAnsi="Arial"/>
          <w:sz w:val="22"/>
        </w:rPr>
        <w:t>CPED</w:t>
      </w:r>
      <w:r w:rsidR="007E665C">
        <w:rPr>
          <w:rFonts w:ascii="Arial" w:hAnsi="Arial"/>
          <w:sz w:val="22"/>
        </w:rPr>
        <w:t xml:space="preserve"> or HRA before a </w:t>
      </w:r>
      <w:r w:rsidR="00C309A5">
        <w:rPr>
          <w:rFonts w:ascii="Arial" w:hAnsi="Arial"/>
          <w:sz w:val="22"/>
        </w:rPr>
        <w:t>R</w:t>
      </w:r>
      <w:r w:rsidR="007E665C">
        <w:rPr>
          <w:rFonts w:ascii="Arial" w:hAnsi="Arial"/>
          <w:sz w:val="22"/>
        </w:rPr>
        <w:t xml:space="preserve">eservation </w:t>
      </w:r>
      <w:r w:rsidR="00193858">
        <w:rPr>
          <w:rFonts w:ascii="Arial" w:hAnsi="Arial"/>
          <w:sz w:val="22"/>
        </w:rPr>
        <w:t>is awarded</w:t>
      </w:r>
      <w:r w:rsidR="00E452D0">
        <w:rPr>
          <w:rFonts w:ascii="Arial" w:hAnsi="Arial"/>
          <w:sz w:val="22"/>
        </w:rPr>
        <w:t>.</w:t>
      </w:r>
    </w:p>
    <w:p w:rsidR="00DD250B" w:rsidRDefault="00DD250B" w:rsidP="00DD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17</w:t>
      </w:r>
      <w:r>
        <w:rPr>
          <w:rFonts w:ascii="Arial" w:hAnsi="Arial"/>
          <w:noProof/>
          <w:sz w:val="22"/>
        </w:rPr>
        <w:t>)</w:t>
      </w:r>
      <w:r w:rsidR="00E452D0">
        <w:rPr>
          <w:rFonts w:ascii="Arial" w:hAnsi="Arial"/>
          <w:sz w:val="22"/>
        </w:rPr>
        <w:tab/>
        <w:t>Location Map</w:t>
      </w:r>
      <w:r w:rsidR="005640F6">
        <w:rPr>
          <w:rFonts w:ascii="Arial" w:hAnsi="Arial"/>
          <w:sz w:val="22"/>
        </w:rPr>
        <w:t xml:space="preserve"> of the project</w:t>
      </w:r>
      <w:r w:rsidR="00E452D0">
        <w:rPr>
          <w:rFonts w:ascii="Arial" w:hAnsi="Arial"/>
          <w:sz w:val="22"/>
        </w:rPr>
        <w:t>.  Legible map with clear directions and cross streets or roads must be provided.</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18</w:t>
      </w:r>
      <w:r>
        <w:rPr>
          <w:rFonts w:ascii="Arial" w:hAnsi="Arial"/>
          <w:noProof/>
          <w:sz w:val="22"/>
        </w:rPr>
        <w:t>)</w:t>
      </w:r>
      <w:r w:rsidR="00E452D0">
        <w:rPr>
          <w:rFonts w:ascii="Arial" w:hAnsi="Arial"/>
          <w:sz w:val="22"/>
        </w:rPr>
        <w:tab/>
        <w:t>Documentation for Utility Allowance.  (See #7, page 3 of LIHC 1).</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19</w:t>
      </w:r>
      <w:r>
        <w:rPr>
          <w:rFonts w:ascii="Arial" w:hAnsi="Arial"/>
          <w:noProof/>
          <w:sz w:val="22"/>
        </w:rPr>
        <w:t>)</w:t>
      </w:r>
      <w:r w:rsidR="00E452D0">
        <w:rPr>
          <w:rFonts w:ascii="Arial" w:hAnsi="Arial"/>
          <w:sz w:val="22"/>
        </w:rPr>
        <w:tab/>
        <w:t>Preliminar</w:t>
      </w:r>
      <w:r w:rsidR="005640F6">
        <w:rPr>
          <w:rFonts w:ascii="Arial" w:hAnsi="Arial"/>
          <w:sz w:val="22"/>
        </w:rPr>
        <w:t>y drawings, at a minimum including</w:t>
      </w:r>
      <w:r w:rsidR="00E452D0">
        <w:rPr>
          <w:rFonts w:ascii="Arial" w:hAnsi="Arial"/>
          <w:sz w:val="22"/>
        </w:rPr>
        <w:t xml:space="preserve"> site plan, elevations and unit plans.</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DD250B">
        <w:rPr>
          <w:rFonts w:ascii="Arial" w:hAnsi="Arial"/>
          <w:noProof/>
          <w:sz w:val="22"/>
        </w:rPr>
        <w:t>20</w:t>
      </w:r>
      <w:r>
        <w:rPr>
          <w:rFonts w:ascii="Arial" w:hAnsi="Arial"/>
          <w:noProof/>
          <w:sz w:val="22"/>
        </w:rPr>
        <w:t>)</w:t>
      </w:r>
      <w:r w:rsidR="005640F6">
        <w:rPr>
          <w:rFonts w:ascii="Arial" w:hAnsi="Arial"/>
          <w:sz w:val="22"/>
        </w:rPr>
        <w:tab/>
        <w:t xml:space="preserve">For </w:t>
      </w:r>
      <w:r w:rsidR="00E452D0">
        <w:rPr>
          <w:rFonts w:ascii="Arial" w:hAnsi="Arial"/>
          <w:sz w:val="22"/>
        </w:rPr>
        <w:t>acquisition and rehabilitation</w:t>
      </w:r>
      <w:r w:rsidR="00193858">
        <w:rPr>
          <w:rFonts w:ascii="Arial" w:hAnsi="Arial"/>
          <w:sz w:val="22"/>
        </w:rPr>
        <w:t xml:space="preserve"> project</w:t>
      </w:r>
      <w:r w:rsidR="005640F6">
        <w:rPr>
          <w:rFonts w:ascii="Arial" w:hAnsi="Arial"/>
          <w:sz w:val="22"/>
        </w:rPr>
        <w:t>s</w:t>
      </w:r>
      <w:r w:rsidR="00E452D0">
        <w:rPr>
          <w:rFonts w:ascii="Arial" w:hAnsi="Arial"/>
          <w:sz w:val="22"/>
        </w:rPr>
        <w:t>, a scope of work must be sub</w:t>
      </w:r>
      <w:r w:rsidR="00E95873">
        <w:rPr>
          <w:rFonts w:ascii="Arial" w:hAnsi="Arial"/>
          <w:sz w:val="22"/>
        </w:rPr>
        <w:t>mitted for each building.  Any A</w:t>
      </w:r>
      <w:r w:rsidR="00E452D0">
        <w:rPr>
          <w:rFonts w:ascii="Arial" w:hAnsi="Arial"/>
          <w:sz w:val="22"/>
        </w:rPr>
        <w:t xml:space="preserve">pplication </w:t>
      </w:r>
      <w:r w:rsidR="00E95873">
        <w:rPr>
          <w:rFonts w:ascii="Arial" w:hAnsi="Arial"/>
          <w:sz w:val="22"/>
        </w:rPr>
        <w:t xml:space="preserve">for </w:t>
      </w:r>
      <w:r w:rsidR="00193858">
        <w:rPr>
          <w:rFonts w:ascii="Arial" w:hAnsi="Arial"/>
          <w:sz w:val="22"/>
        </w:rPr>
        <w:t xml:space="preserve">the </w:t>
      </w:r>
      <w:r w:rsidR="00E452D0">
        <w:rPr>
          <w:rFonts w:ascii="Arial" w:hAnsi="Arial"/>
          <w:sz w:val="22"/>
        </w:rPr>
        <w:t xml:space="preserve">acquisition and rehabilitation of a </w:t>
      </w:r>
      <w:r w:rsidR="00894290">
        <w:rPr>
          <w:rFonts w:ascii="Arial" w:hAnsi="Arial"/>
          <w:sz w:val="22"/>
        </w:rPr>
        <w:t>CPED</w:t>
      </w:r>
      <w:r w:rsidR="00E452D0">
        <w:rPr>
          <w:rFonts w:ascii="Arial" w:hAnsi="Arial"/>
          <w:sz w:val="22"/>
        </w:rPr>
        <w:t xml:space="preserve"> or HRA financed project must </w:t>
      </w:r>
      <w:r w:rsidR="00E95873">
        <w:rPr>
          <w:rFonts w:ascii="Arial" w:hAnsi="Arial"/>
          <w:sz w:val="22"/>
        </w:rPr>
        <w:t xml:space="preserve">be accompanied by </w:t>
      </w:r>
      <w:r w:rsidR="00E452D0">
        <w:rPr>
          <w:rFonts w:ascii="Arial" w:hAnsi="Arial"/>
          <w:sz w:val="22"/>
        </w:rPr>
        <w:t>a rehabilitation report performed or approved by a representative of the appropriate agency or a person approved by the agency.</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DD250B">
        <w:rPr>
          <w:rFonts w:ascii="Arial" w:hAnsi="Arial"/>
          <w:sz w:val="22"/>
        </w:rPr>
        <w:t>21</w:t>
      </w:r>
      <w:r>
        <w:rPr>
          <w:rFonts w:ascii="Arial" w:hAnsi="Arial"/>
          <w:sz w:val="22"/>
        </w:rPr>
        <w:t>)</w:t>
      </w:r>
      <w:r w:rsidR="00E452D0">
        <w:rPr>
          <w:rFonts w:ascii="Arial" w:hAnsi="Arial"/>
          <w:sz w:val="22"/>
        </w:rPr>
        <w:tab/>
        <w:t>Relocation Plan, if applicable.</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DD250B">
        <w:rPr>
          <w:rFonts w:ascii="Arial" w:hAnsi="Arial"/>
          <w:sz w:val="22"/>
        </w:rPr>
        <w:t>22</w:t>
      </w:r>
      <w:r>
        <w:rPr>
          <w:rFonts w:ascii="Arial" w:hAnsi="Arial"/>
          <w:sz w:val="22"/>
        </w:rPr>
        <w:t>)</w:t>
      </w:r>
      <w:r w:rsidR="00E452D0">
        <w:rPr>
          <w:rFonts w:ascii="Arial" w:hAnsi="Arial"/>
          <w:sz w:val="22"/>
        </w:rPr>
        <w:tab/>
        <w:t>Letter of Support from the applicable neighborhood association.</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DD250B">
        <w:rPr>
          <w:rFonts w:ascii="Arial" w:hAnsi="Arial"/>
          <w:sz w:val="22"/>
        </w:rPr>
        <w:t>23</w:t>
      </w:r>
      <w:r>
        <w:rPr>
          <w:rFonts w:ascii="Arial" w:hAnsi="Arial"/>
          <w:sz w:val="22"/>
        </w:rPr>
        <w:t>)</w:t>
      </w:r>
      <w:r w:rsidR="00E452D0">
        <w:rPr>
          <w:rFonts w:ascii="Arial" w:hAnsi="Arial"/>
          <w:sz w:val="22"/>
        </w:rPr>
        <w:tab/>
        <w:t>Maintenance and Operating Expense Review and Underwriting Certification. (Exhibit</w:t>
      </w:r>
      <w:r w:rsidR="00C309A5">
        <w:rPr>
          <w:rFonts w:ascii="Arial" w:hAnsi="Arial"/>
          <w:sz w:val="22"/>
        </w:rPr>
        <w:t> </w:t>
      </w:r>
      <w:r w:rsidR="00E452D0">
        <w:rPr>
          <w:rFonts w:ascii="Arial" w:hAnsi="Arial"/>
          <w:sz w:val="22"/>
        </w:rPr>
        <w:t>X)</w:t>
      </w:r>
      <w:r w:rsidR="00C309A5">
        <w:rPr>
          <w:rFonts w:ascii="Arial" w:hAnsi="Arial"/>
          <w:sz w:val="22"/>
        </w:rPr>
        <w:t>.</w:t>
      </w:r>
    </w:p>
    <w:p w:rsidR="00E452D0" w:rsidRDefault="00E452D0"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452D0" w:rsidRDefault="00B07AD5"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DD250B">
        <w:rPr>
          <w:rFonts w:ascii="Arial" w:hAnsi="Arial"/>
          <w:sz w:val="22"/>
        </w:rPr>
        <w:t>24</w:t>
      </w:r>
      <w:r>
        <w:rPr>
          <w:rFonts w:ascii="Arial" w:hAnsi="Arial"/>
          <w:sz w:val="22"/>
        </w:rPr>
        <w:t>)</w:t>
      </w:r>
      <w:r w:rsidR="00E452D0">
        <w:rPr>
          <w:rFonts w:ascii="Arial" w:hAnsi="Arial"/>
          <w:sz w:val="22"/>
        </w:rPr>
        <w:tab/>
        <w:t xml:space="preserve">Third-party comprehensive market </w:t>
      </w:r>
      <w:r w:rsidR="00C309A5">
        <w:rPr>
          <w:rFonts w:ascii="Arial" w:hAnsi="Arial"/>
          <w:sz w:val="22"/>
        </w:rPr>
        <w:t>study</w:t>
      </w:r>
      <w:r w:rsidR="00E452D0">
        <w:rPr>
          <w:rFonts w:ascii="Arial" w:hAnsi="Arial"/>
          <w:sz w:val="22"/>
        </w:rPr>
        <w:t xml:space="preserve"> of housing needs of low-income individuals in the area to be served by the project.</w:t>
      </w:r>
    </w:p>
    <w:p w:rsidR="009A1FBC" w:rsidRDefault="009A1FBC" w:rsidP="00E45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9A1FBC" w:rsidRDefault="00B07AD5"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r>
        <w:rPr>
          <w:rFonts w:ascii="Arial" w:hAnsi="Arial"/>
          <w:sz w:val="22"/>
        </w:rPr>
        <w:t>(</w:t>
      </w:r>
      <w:r w:rsidR="009A1FBC">
        <w:rPr>
          <w:rFonts w:ascii="Arial" w:hAnsi="Arial"/>
          <w:sz w:val="22"/>
        </w:rPr>
        <w:t>25</w:t>
      </w:r>
      <w:r>
        <w:rPr>
          <w:rFonts w:ascii="Arial" w:hAnsi="Arial"/>
          <w:sz w:val="22"/>
        </w:rPr>
        <w:t>)</w:t>
      </w:r>
      <w:r w:rsidR="009A1FBC">
        <w:rPr>
          <w:rFonts w:ascii="Arial" w:hAnsi="Arial"/>
          <w:sz w:val="22"/>
        </w:rPr>
        <w:tab/>
        <w:t>Affirmative Fair Housing Marketing Plan (AFHMP) - Multifamily Housing (HUD-935.2A) (Exhibit Z)</w:t>
      </w:r>
      <w:r w:rsidR="00C309A5">
        <w:rPr>
          <w:rFonts w:ascii="Arial" w:hAnsi="Arial"/>
          <w:sz w:val="22"/>
        </w:rPr>
        <w:t>.</w:t>
      </w:r>
    </w:p>
    <w:p w:rsidR="009A1FBC" w:rsidRDefault="009A1FBC"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p>
    <w:p w:rsidR="009A1FBC" w:rsidRPr="00E66E58" w:rsidRDefault="00B07AD5"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9A1FBC" w:rsidRPr="00E66E58">
        <w:rPr>
          <w:rFonts w:ascii="Arial" w:hAnsi="Arial"/>
          <w:sz w:val="22"/>
        </w:rPr>
        <w:t>26</w:t>
      </w:r>
      <w:r>
        <w:rPr>
          <w:rFonts w:ascii="Arial" w:hAnsi="Arial"/>
          <w:sz w:val="22"/>
        </w:rPr>
        <w:t>)</w:t>
      </w:r>
      <w:r w:rsidR="00C309A5">
        <w:rPr>
          <w:rFonts w:ascii="Arial" w:hAnsi="Arial"/>
          <w:sz w:val="22"/>
        </w:rPr>
        <w:tab/>
      </w:r>
      <w:r w:rsidR="009A1FBC" w:rsidRPr="00E66E58">
        <w:rPr>
          <w:rFonts w:ascii="Arial" w:hAnsi="Arial"/>
          <w:sz w:val="22"/>
        </w:rPr>
        <w:t>Equal Employment Opportunity Policy Statement</w:t>
      </w:r>
      <w:r w:rsidR="00DA482C" w:rsidRPr="00E66E58">
        <w:rPr>
          <w:rFonts w:ascii="Arial" w:hAnsi="Arial"/>
          <w:sz w:val="22"/>
        </w:rPr>
        <w:t xml:space="preserve"> (Exhibit AA)</w:t>
      </w:r>
      <w:r w:rsidR="00C309A5">
        <w:rPr>
          <w:rFonts w:ascii="Arial" w:hAnsi="Arial"/>
          <w:sz w:val="22"/>
        </w:rPr>
        <w:t>.</w:t>
      </w:r>
    </w:p>
    <w:p w:rsidR="00350C66" w:rsidRDefault="00350C66" w:rsidP="003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350C66" w:rsidRDefault="00B07AD5" w:rsidP="003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(27)</w:t>
      </w:r>
      <w:r w:rsidR="00350C66">
        <w:rPr>
          <w:rFonts w:ascii="Arial" w:hAnsi="Arial"/>
          <w:sz w:val="22"/>
        </w:rPr>
        <w:tab/>
        <w:t>Multifamily – Intended Methods Worksheet: MN Overlay to Green Communities (Exhibit A</w:t>
      </w:r>
      <w:r w:rsidR="00DA482C">
        <w:rPr>
          <w:rFonts w:ascii="Arial" w:hAnsi="Arial"/>
          <w:sz w:val="22"/>
        </w:rPr>
        <w:t>B</w:t>
      </w:r>
      <w:r w:rsidR="00350C66">
        <w:rPr>
          <w:rFonts w:ascii="Arial" w:hAnsi="Arial"/>
          <w:sz w:val="22"/>
        </w:rPr>
        <w:t>)</w:t>
      </w:r>
      <w:r w:rsidR="00C309A5">
        <w:rPr>
          <w:rFonts w:ascii="Arial" w:hAnsi="Arial"/>
          <w:sz w:val="22"/>
        </w:rPr>
        <w:t>.</w:t>
      </w:r>
    </w:p>
    <w:p w:rsidR="00350C66" w:rsidRDefault="00350C66"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Pr="00E03091" w:rsidRDefault="00CE30A2" w:rsidP="00C309A5">
      <w:pPr>
        <w:pStyle w:val="Heading2"/>
        <w:spacing w:after="0"/>
        <w:ind w:left="720"/>
        <w:rPr>
          <w:rFonts w:ascii="Arial" w:hAnsi="Arial"/>
          <w:i w:val="0"/>
          <w:sz w:val="22"/>
        </w:rPr>
      </w:pPr>
      <w:bookmarkStart w:id="56" w:name="_Toc511903034"/>
      <w:r w:rsidRPr="00E03091">
        <w:rPr>
          <w:rFonts w:ascii="Arial" w:hAnsi="Arial"/>
          <w:i w:val="0"/>
          <w:sz w:val="22"/>
        </w:rPr>
        <w:t>C</w:t>
      </w:r>
      <w:r w:rsidR="005F6082" w:rsidRPr="00E03091">
        <w:rPr>
          <w:rFonts w:ascii="Arial" w:hAnsi="Arial"/>
          <w:i w:val="0"/>
          <w:sz w:val="22"/>
        </w:rPr>
        <w:t>.</w:t>
      </w:r>
      <w:r w:rsidR="005F6082" w:rsidRPr="00E03091">
        <w:rPr>
          <w:rFonts w:ascii="Arial" w:hAnsi="Arial"/>
          <w:i w:val="0"/>
          <w:sz w:val="22"/>
        </w:rPr>
        <w:tab/>
        <w:t xml:space="preserve">Carryover </w:t>
      </w:r>
      <w:r w:rsidR="005640F6">
        <w:rPr>
          <w:rFonts w:ascii="Arial" w:hAnsi="Arial"/>
          <w:i w:val="0"/>
          <w:sz w:val="22"/>
        </w:rPr>
        <w:t xml:space="preserve">Allocation </w:t>
      </w:r>
      <w:r w:rsidR="005F6082" w:rsidRPr="00E03091">
        <w:rPr>
          <w:rFonts w:ascii="Arial" w:hAnsi="Arial"/>
          <w:i w:val="0"/>
          <w:sz w:val="22"/>
        </w:rPr>
        <w:t>Requirements</w:t>
      </w:r>
      <w:r w:rsidR="005F6082" w:rsidRPr="00E03091">
        <w:rPr>
          <w:rFonts w:ascii="Arial" w:hAnsi="Arial"/>
          <w:i w:val="0"/>
          <w:sz w:val="22"/>
        </w:rPr>
        <w:fldChar w:fldCharType="begin"/>
      </w:r>
      <w:r w:rsidR="005F6082" w:rsidRPr="00E03091">
        <w:rPr>
          <w:rFonts w:ascii="Arial" w:hAnsi="Arial"/>
          <w:i w:val="0"/>
          <w:sz w:val="22"/>
        </w:rPr>
        <w:instrText>tc \l2 "B.</w:instrText>
      </w:r>
      <w:r w:rsidR="005F6082" w:rsidRPr="00E03091">
        <w:rPr>
          <w:rFonts w:ascii="Arial" w:hAnsi="Arial"/>
          <w:i w:val="0"/>
          <w:sz w:val="22"/>
        </w:rPr>
        <w:tab/>
        <w:instrText>Carryover Requirements</w:instrText>
      </w:r>
      <w:r w:rsidR="005F6082" w:rsidRPr="00E03091">
        <w:rPr>
          <w:rFonts w:ascii="Arial" w:hAnsi="Arial"/>
          <w:i w:val="0"/>
          <w:sz w:val="22"/>
        </w:rPr>
        <w:fldChar w:fldCharType="end"/>
      </w:r>
      <w:bookmarkEnd w:id="56"/>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In addition to meeting requirements of </w:t>
      </w:r>
      <w:r w:rsidR="00600022">
        <w:rPr>
          <w:rFonts w:ascii="Arial" w:hAnsi="Arial"/>
          <w:sz w:val="22"/>
        </w:rPr>
        <w:t>Section 42</w:t>
      </w:r>
      <w:r w:rsidR="001D7E91">
        <w:rPr>
          <w:rFonts w:ascii="Arial" w:hAnsi="Arial"/>
          <w:sz w:val="22"/>
        </w:rPr>
        <w:t xml:space="preserve"> of Code</w:t>
      </w:r>
      <w:r w:rsidR="00193858">
        <w:rPr>
          <w:rFonts w:ascii="Arial" w:hAnsi="Arial"/>
          <w:sz w:val="22"/>
        </w:rPr>
        <w:t xml:space="preserve">, the owner </w:t>
      </w:r>
      <w:r>
        <w:rPr>
          <w:rFonts w:ascii="Arial" w:hAnsi="Arial"/>
          <w:sz w:val="22"/>
        </w:rPr>
        <w:t xml:space="preserve">must provide </w:t>
      </w:r>
      <w:r w:rsidR="00600022">
        <w:rPr>
          <w:rFonts w:ascii="Arial" w:hAnsi="Arial"/>
          <w:sz w:val="22"/>
        </w:rPr>
        <w:t xml:space="preserve">by </w:t>
      </w:r>
      <w:r>
        <w:rPr>
          <w:rFonts w:ascii="Arial" w:hAnsi="Arial"/>
          <w:sz w:val="22"/>
        </w:rPr>
        <w:t>no later than September 15 of the year in which the</w:t>
      </w:r>
      <w:r w:rsidR="00193858">
        <w:rPr>
          <w:rFonts w:ascii="Arial" w:hAnsi="Arial"/>
          <w:sz w:val="22"/>
        </w:rPr>
        <w:t xml:space="preserve"> </w:t>
      </w:r>
      <w:r w:rsidR="00DD250B">
        <w:rPr>
          <w:rFonts w:ascii="Arial" w:hAnsi="Arial"/>
          <w:sz w:val="22"/>
        </w:rPr>
        <w:t>R</w:t>
      </w:r>
      <w:r>
        <w:rPr>
          <w:rFonts w:ascii="Arial" w:hAnsi="Arial"/>
          <w:sz w:val="22"/>
        </w:rPr>
        <w:t xml:space="preserve">eservation was issued, a status report satisfactory to </w:t>
      </w:r>
      <w:r w:rsidR="00350A65">
        <w:rPr>
          <w:rFonts w:ascii="Arial" w:hAnsi="Arial"/>
          <w:sz w:val="22"/>
        </w:rPr>
        <w:t>CPED</w:t>
      </w:r>
      <w:r w:rsidR="005640F6">
        <w:rPr>
          <w:rFonts w:ascii="Arial" w:hAnsi="Arial"/>
          <w:sz w:val="22"/>
        </w:rPr>
        <w:t xml:space="preserve"> or HRA staff </w:t>
      </w:r>
      <w:r w:rsidR="00193858">
        <w:rPr>
          <w:rFonts w:ascii="Arial" w:hAnsi="Arial"/>
          <w:sz w:val="22"/>
        </w:rPr>
        <w:t>of</w:t>
      </w:r>
      <w:r>
        <w:rPr>
          <w:rFonts w:ascii="Arial" w:hAnsi="Arial"/>
          <w:sz w:val="22"/>
        </w:rPr>
        <w:t xml:space="preserve"> the progress of the project and</w:t>
      </w:r>
      <w:r w:rsidR="00193858">
        <w:rPr>
          <w:rFonts w:ascii="Arial" w:hAnsi="Arial"/>
          <w:sz w:val="22"/>
        </w:rPr>
        <w:t xml:space="preserve"> the</w:t>
      </w:r>
      <w:r>
        <w:rPr>
          <w:rFonts w:ascii="Arial" w:hAnsi="Arial"/>
          <w:sz w:val="22"/>
        </w:rPr>
        <w:t xml:space="preserve"> identification of any barriers to meeting the requirements of the</w:t>
      </w:r>
      <w:r w:rsidR="001D7E91">
        <w:rPr>
          <w:rFonts w:ascii="Arial" w:hAnsi="Arial"/>
          <w:sz w:val="22"/>
        </w:rPr>
        <w:t xml:space="preserve"> </w:t>
      </w:r>
      <w:r w:rsidR="00193858">
        <w:rPr>
          <w:rFonts w:ascii="Arial" w:hAnsi="Arial"/>
          <w:sz w:val="22"/>
        </w:rPr>
        <w:t>Section 42</w:t>
      </w:r>
      <w:r>
        <w:rPr>
          <w:rFonts w:ascii="Arial" w:hAnsi="Arial"/>
          <w:sz w:val="22"/>
        </w:rPr>
        <w:t xml:space="preserve"> </w:t>
      </w:r>
      <w:r w:rsidR="001D7E91">
        <w:rPr>
          <w:rFonts w:ascii="Arial" w:hAnsi="Arial"/>
          <w:sz w:val="22"/>
        </w:rPr>
        <w:t xml:space="preserve">Code </w:t>
      </w:r>
      <w:r>
        <w:rPr>
          <w:rFonts w:ascii="Arial" w:hAnsi="Arial"/>
          <w:sz w:val="22"/>
        </w:rPr>
        <w:t xml:space="preserve">and this Procedural Manual to </w:t>
      </w:r>
      <w:r w:rsidR="008D3D5E">
        <w:rPr>
          <w:rFonts w:ascii="Arial" w:hAnsi="Arial"/>
          <w:sz w:val="22"/>
        </w:rPr>
        <w:t>receive a Carryover Allocation</w:t>
      </w:r>
      <w:r w:rsidR="00600022">
        <w:rPr>
          <w:rFonts w:ascii="Arial" w:hAnsi="Arial" w:cs="Arial"/>
          <w:sz w:val="22"/>
          <w:szCs w:val="22"/>
        </w:rPr>
        <w:t xml:space="preserve"> </w:t>
      </w:r>
      <w:r>
        <w:rPr>
          <w:rFonts w:ascii="Arial" w:hAnsi="Arial"/>
          <w:sz w:val="22"/>
        </w:rPr>
        <w:lastRenderedPageBreak/>
        <w:t xml:space="preserve">for the project. The status report shall include, but not be limited to, status of private and public lender financing and </w:t>
      </w:r>
      <w:r w:rsidR="008D3D5E">
        <w:rPr>
          <w:rFonts w:ascii="Arial" w:hAnsi="Arial"/>
          <w:sz w:val="22"/>
        </w:rPr>
        <w:t>HTC syndication commitment</w:t>
      </w:r>
      <w:r>
        <w:rPr>
          <w:rFonts w:ascii="Arial" w:hAnsi="Arial"/>
          <w:sz w:val="22"/>
        </w:rPr>
        <w:t>, project costs incurred to date, status of obtaining ownership of the project site, zoning status, and project budget.  Failure to submit said status report shall be ground to revo</w:t>
      </w:r>
      <w:r w:rsidR="005640F6">
        <w:rPr>
          <w:rFonts w:ascii="Arial" w:hAnsi="Arial"/>
          <w:sz w:val="22"/>
        </w:rPr>
        <w:t xml:space="preserve">ke </w:t>
      </w:r>
      <w:r>
        <w:rPr>
          <w:rFonts w:ascii="Arial" w:hAnsi="Arial"/>
          <w:sz w:val="22"/>
        </w:rPr>
        <w:t xml:space="preserve">the </w:t>
      </w:r>
      <w:r w:rsidR="005640F6">
        <w:rPr>
          <w:rFonts w:ascii="Arial" w:hAnsi="Arial"/>
          <w:sz w:val="22"/>
        </w:rPr>
        <w:t>R</w:t>
      </w:r>
      <w:r>
        <w:rPr>
          <w:rFonts w:ascii="Arial" w:hAnsi="Arial"/>
          <w:sz w:val="22"/>
        </w:rPr>
        <w:t>eservation by the Board.</w:t>
      </w:r>
    </w:p>
    <w:p w:rsidR="00BD6448" w:rsidRDefault="00BD6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No later than November 1 of </w:t>
      </w:r>
      <w:r w:rsidR="005640F6">
        <w:rPr>
          <w:rFonts w:ascii="Arial" w:hAnsi="Arial"/>
          <w:sz w:val="22"/>
        </w:rPr>
        <w:t xml:space="preserve">the year </w:t>
      </w:r>
      <w:r>
        <w:rPr>
          <w:rFonts w:ascii="Arial" w:hAnsi="Arial"/>
          <w:sz w:val="22"/>
        </w:rPr>
        <w:t xml:space="preserve">the </w:t>
      </w:r>
      <w:r w:rsidR="005640F6">
        <w:rPr>
          <w:rFonts w:ascii="Arial" w:hAnsi="Arial"/>
          <w:sz w:val="22"/>
        </w:rPr>
        <w:t>Carryover A</w:t>
      </w:r>
      <w:r>
        <w:rPr>
          <w:rFonts w:ascii="Arial" w:hAnsi="Arial"/>
          <w:sz w:val="22"/>
        </w:rPr>
        <w:t>llocati</w:t>
      </w:r>
      <w:r w:rsidR="008D3D5E">
        <w:rPr>
          <w:rFonts w:ascii="Arial" w:hAnsi="Arial"/>
          <w:sz w:val="22"/>
        </w:rPr>
        <w:t>on is to be issued the owner</w:t>
      </w:r>
      <w:r>
        <w:rPr>
          <w:rFonts w:ascii="Arial" w:hAnsi="Arial"/>
          <w:sz w:val="22"/>
        </w:rPr>
        <w:t xml:space="preserve"> must submit evidence</w:t>
      </w:r>
      <w:r w:rsidR="008D3D5E">
        <w:rPr>
          <w:rFonts w:ascii="Arial" w:hAnsi="Arial"/>
          <w:sz w:val="22"/>
        </w:rPr>
        <w:t>,</w:t>
      </w:r>
      <w:r>
        <w:rPr>
          <w:rFonts w:ascii="Arial" w:hAnsi="Arial"/>
          <w:sz w:val="22"/>
        </w:rPr>
        <w:t xml:space="preserve"> satisfactory to </w:t>
      </w:r>
      <w:r w:rsidR="00350A65">
        <w:rPr>
          <w:rFonts w:ascii="Arial" w:hAnsi="Arial"/>
          <w:sz w:val="22"/>
        </w:rPr>
        <w:t>CPED</w:t>
      </w:r>
      <w:r w:rsidR="00F74653">
        <w:rPr>
          <w:rFonts w:ascii="Arial" w:hAnsi="Arial"/>
          <w:sz w:val="22"/>
        </w:rPr>
        <w:t xml:space="preserve"> or HRA </w:t>
      </w:r>
      <w:r>
        <w:rPr>
          <w:rFonts w:ascii="Arial" w:hAnsi="Arial"/>
          <w:sz w:val="22"/>
        </w:rPr>
        <w:t xml:space="preserve">the following (if not already submitted as part of </w:t>
      </w:r>
      <w:r w:rsidR="008D3D5E">
        <w:rPr>
          <w:rFonts w:ascii="Arial" w:hAnsi="Arial"/>
          <w:sz w:val="22"/>
        </w:rPr>
        <w:t xml:space="preserve">HTC </w:t>
      </w:r>
      <w:r w:rsidR="00E95873">
        <w:rPr>
          <w:rFonts w:ascii="Arial" w:hAnsi="Arial"/>
          <w:sz w:val="22"/>
        </w:rPr>
        <w:t>A</w:t>
      </w:r>
      <w:r w:rsidR="00F74653">
        <w:rPr>
          <w:rFonts w:ascii="Arial" w:hAnsi="Arial"/>
          <w:sz w:val="22"/>
        </w:rPr>
        <w:t>pplication</w:t>
      </w:r>
      <w:r>
        <w:rPr>
          <w:rFonts w:ascii="Arial" w:hAnsi="Arial"/>
          <w:sz w:val="22"/>
        </w:rPr>
        <w:t xml:space="preserve"> requirements):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7E665C" w:rsidRDefault="00B07AD5" w:rsidP="007E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napToGrid/>
          <w:sz w:val="22"/>
        </w:rPr>
      </w:pPr>
      <w:r>
        <w:rPr>
          <w:rFonts w:ascii="Arial" w:hAnsi="Arial"/>
          <w:noProof/>
          <w:sz w:val="22"/>
        </w:rPr>
        <w:t>(</w:t>
      </w:r>
      <w:r w:rsidR="005F6082">
        <w:rPr>
          <w:rFonts w:ascii="Arial" w:hAnsi="Arial"/>
          <w:noProof/>
          <w:sz w:val="22"/>
        </w:rPr>
        <w:t>1</w:t>
      </w:r>
      <w:r>
        <w:rPr>
          <w:rFonts w:ascii="Arial" w:hAnsi="Arial"/>
          <w:noProof/>
          <w:sz w:val="22"/>
        </w:rPr>
        <w:t>)</w:t>
      </w:r>
      <w:r w:rsidR="005F6082">
        <w:rPr>
          <w:rFonts w:ascii="Arial" w:hAnsi="Arial"/>
          <w:sz w:val="22"/>
        </w:rPr>
        <w:tab/>
      </w:r>
      <w:r w:rsidR="007E665C">
        <w:rPr>
          <w:rFonts w:ascii="Arial" w:hAnsi="Arial"/>
          <w:sz w:val="22"/>
        </w:rPr>
        <w:t>A check for the appropriate All</w:t>
      </w:r>
      <w:r w:rsidR="00C309A5">
        <w:rPr>
          <w:rFonts w:ascii="Arial" w:hAnsi="Arial"/>
          <w:sz w:val="22"/>
        </w:rPr>
        <w:t>ocation Fee (See Section VIII).</w:t>
      </w:r>
    </w:p>
    <w:p w:rsidR="007E665C" w:rsidRDefault="007E665C" w:rsidP="007E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7E665C" w:rsidRDefault="00B07AD5" w:rsidP="007E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noProof/>
          <w:sz w:val="22"/>
        </w:rPr>
        <w:t>(</w:t>
      </w:r>
      <w:r w:rsidR="007E665C">
        <w:rPr>
          <w:rFonts w:ascii="Arial" w:hAnsi="Arial"/>
          <w:noProof/>
          <w:sz w:val="22"/>
        </w:rPr>
        <w:t>2</w:t>
      </w:r>
      <w:r>
        <w:rPr>
          <w:rFonts w:ascii="Arial" w:hAnsi="Arial"/>
          <w:noProof/>
          <w:sz w:val="22"/>
        </w:rPr>
        <w:t>)</w:t>
      </w:r>
      <w:r w:rsidR="007E665C">
        <w:rPr>
          <w:rFonts w:ascii="Arial" w:hAnsi="Arial"/>
          <w:sz w:val="22"/>
        </w:rPr>
        <w:tab/>
        <w:t>A check for the appropriate Special Counsel Fee (See Section VIII).</w:t>
      </w:r>
    </w:p>
    <w:p w:rsidR="007E665C" w:rsidRDefault="007E665C" w:rsidP="007E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7E665C">
        <w:rPr>
          <w:rFonts w:ascii="Arial" w:hAnsi="Arial"/>
          <w:sz w:val="22"/>
        </w:rPr>
        <w:t>3</w:t>
      </w:r>
      <w:r>
        <w:rPr>
          <w:rFonts w:ascii="Arial" w:hAnsi="Arial"/>
          <w:sz w:val="22"/>
        </w:rPr>
        <w:t>)</w:t>
      </w:r>
      <w:r w:rsidR="007E665C">
        <w:rPr>
          <w:rFonts w:ascii="Arial" w:hAnsi="Arial"/>
          <w:sz w:val="22"/>
        </w:rPr>
        <w:tab/>
        <w:t>An updated Minnesota Housing</w:t>
      </w:r>
      <w:r w:rsidR="00BE7B7D">
        <w:rPr>
          <w:rFonts w:ascii="Arial" w:hAnsi="Arial"/>
          <w:sz w:val="22"/>
        </w:rPr>
        <w:t xml:space="preserve"> Common Application Form</w:t>
      </w:r>
      <w:r w:rsidR="00F74653">
        <w:rPr>
          <w:rFonts w:ascii="Arial" w:hAnsi="Arial"/>
          <w:sz w:val="22"/>
        </w:rPr>
        <w:t>.  R</w:t>
      </w:r>
      <w:r w:rsidR="005F6082">
        <w:rPr>
          <w:rFonts w:ascii="Arial" w:hAnsi="Arial"/>
          <w:sz w:val="22"/>
        </w:rPr>
        <w:t>evised pages should reflect any material changes including source</w:t>
      </w:r>
      <w:r w:rsidR="008D3D5E">
        <w:rPr>
          <w:rFonts w:ascii="Arial" w:hAnsi="Arial"/>
          <w:sz w:val="22"/>
        </w:rPr>
        <w:t>s</w:t>
      </w:r>
      <w:r w:rsidR="005F6082">
        <w:rPr>
          <w:rFonts w:ascii="Arial" w:hAnsi="Arial"/>
          <w:sz w:val="22"/>
        </w:rPr>
        <w:t xml:space="preserve"> and uses of funds (highlight or circle in red all changes; initial and date each modified page).  Incomplete revisions </w:t>
      </w:r>
      <w:r w:rsidR="007E665C">
        <w:rPr>
          <w:rFonts w:ascii="Arial" w:hAnsi="Arial"/>
          <w:sz w:val="22"/>
        </w:rPr>
        <w:t xml:space="preserve">or those not highlighted on </w:t>
      </w:r>
      <w:r w:rsidR="00351A44">
        <w:rPr>
          <w:rFonts w:ascii="Arial" w:hAnsi="Arial"/>
          <w:sz w:val="22"/>
        </w:rPr>
        <w:t xml:space="preserve">Minnesota </w:t>
      </w:r>
      <w:r w:rsidR="007E665C">
        <w:rPr>
          <w:rFonts w:ascii="Arial" w:hAnsi="Arial"/>
          <w:sz w:val="22"/>
        </w:rPr>
        <w:t xml:space="preserve">Housing </w:t>
      </w:r>
      <w:r w:rsidR="00BE7B7D">
        <w:rPr>
          <w:rFonts w:ascii="Arial" w:hAnsi="Arial"/>
          <w:sz w:val="22"/>
        </w:rPr>
        <w:t xml:space="preserve">Common Application </w:t>
      </w:r>
      <w:r w:rsidR="005F6082">
        <w:rPr>
          <w:rFonts w:ascii="Arial" w:hAnsi="Arial"/>
          <w:sz w:val="22"/>
        </w:rPr>
        <w:t xml:space="preserve">Form are not acceptable and will be returned to the </w:t>
      </w:r>
      <w:r w:rsidR="008D3D5E">
        <w:rPr>
          <w:rFonts w:ascii="Arial" w:hAnsi="Arial"/>
          <w:sz w:val="22"/>
        </w:rPr>
        <w:t>owner</w:t>
      </w:r>
      <w:r w:rsidR="005F6082">
        <w:rPr>
          <w:rFonts w:ascii="Arial" w:hAnsi="Arial"/>
          <w:sz w:val="22"/>
        </w:rPr>
        <w:t xml:space="preserve">.  The </w:t>
      </w:r>
      <w:r w:rsidR="00F74653">
        <w:rPr>
          <w:rFonts w:ascii="Arial" w:hAnsi="Arial"/>
          <w:sz w:val="22"/>
        </w:rPr>
        <w:t>C</w:t>
      </w:r>
      <w:r w:rsidR="008D3D5E">
        <w:rPr>
          <w:rFonts w:ascii="Arial" w:hAnsi="Arial"/>
          <w:sz w:val="22"/>
        </w:rPr>
        <w:t xml:space="preserve">arryover </w:t>
      </w:r>
      <w:r w:rsidR="00F74653">
        <w:rPr>
          <w:rFonts w:ascii="Arial" w:hAnsi="Arial"/>
          <w:sz w:val="22"/>
        </w:rPr>
        <w:t xml:space="preserve">Allocation </w:t>
      </w:r>
      <w:r w:rsidR="005F6082">
        <w:rPr>
          <w:rFonts w:ascii="Arial" w:hAnsi="Arial"/>
          <w:sz w:val="22"/>
        </w:rPr>
        <w:t>application must be signed by one general partner, officer, director or corporate officer stating that under penalties of perjury all facts and statements contained in application and all documents and exhibits submitted are true to the best of their knowledge.</w:t>
      </w:r>
      <w:r w:rsidR="000732CA">
        <w:rPr>
          <w:rFonts w:ascii="Arial" w:hAnsi="Arial"/>
          <w:sz w:val="22"/>
        </w:rPr>
        <w:t xml:space="preserve">  </w:t>
      </w:r>
      <w:r w:rsidR="000732CA" w:rsidRPr="00BE7B7D">
        <w:rPr>
          <w:rFonts w:ascii="Arial" w:hAnsi="Arial"/>
          <w:b/>
          <w:sz w:val="22"/>
        </w:rPr>
        <w:t>NOTE</w:t>
      </w:r>
      <w:r w:rsidR="000732CA">
        <w:rPr>
          <w:rFonts w:ascii="Arial" w:hAnsi="Arial"/>
          <w:sz w:val="22"/>
        </w:rPr>
        <w:t>: Applicant</w:t>
      </w:r>
      <w:r w:rsidR="00F74653">
        <w:rPr>
          <w:rFonts w:ascii="Arial" w:hAnsi="Arial"/>
          <w:sz w:val="22"/>
        </w:rPr>
        <w:t>s</w:t>
      </w:r>
      <w:r w:rsidR="000732CA">
        <w:rPr>
          <w:rFonts w:ascii="Arial" w:hAnsi="Arial"/>
          <w:sz w:val="22"/>
        </w:rPr>
        <w:t xml:space="preserve"> must also submit </w:t>
      </w:r>
      <w:r w:rsidR="007E665C">
        <w:rPr>
          <w:rFonts w:ascii="Arial" w:hAnsi="Arial"/>
          <w:sz w:val="22"/>
        </w:rPr>
        <w:t xml:space="preserve">the Minnesota Housing </w:t>
      </w:r>
      <w:r w:rsidR="00BE7B7D">
        <w:rPr>
          <w:rFonts w:ascii="Arial" w:hAnsi="Arial"/>
          <w:sz w:val="22"/>
        </w:rPr>
        <w:t>Common Application Form</w:t>
      </w:r>
      <w:r w:rsidR="000732CA">
        <w:rPr>
          <w:rFonts w:ascii="Arial" w:hAnsi="Arial"/>
          <w:sz w:val="22"/>
        </w:rPr>
        <w:t xml:space="preserve"> in its original electronic XLS format.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7E665C">
        <w:rPr>
          <w:rFonts w:ascii="Arial" w:hAnsi="Arial"/>
          <w:sz w:val="22"/>
        </w:rPr>
        <w:t>4</w:t>
      </w:r>
      <w:r>
        <w:rPr>
          <w:rFonts w:ascii="Arial" w:hAnsi="Arial"/>
          <w:sz w:val="22"/>
        </w:rPr>
        <w:t>)</w:t>
      </w:r>
      <w:r w:rsidR="00F74653">
        <w:rPr>
          <w:rFonts w:ascii="Arial" w:hAnsi="Arial"/>
          <w:sz w:val="22"/>
        </w:rPr>
        <w:tab/>
        <w:t>An Opinion of Counsel</w:t>
      </w:r>
      <w:r w:rsidR="005F6082">
        <w:rPr>
          <w:rFonts w:ascii="Arial" w:hAnsi="Arial"/>
          <w:sz w:val="22"/>
        </w:rPr>
        <w:t xml:space="preserve"> in the form of Exhibit D verifying the owner </w:t>
      </w:r>
      <w:r w:rsidR="008D3D5E">
        <w:rPr>
          <w:rFonts w:ascii="Arial" w:hAnsi="Arial"/>
          <w:sz w:val="22"/>
        </w:rPr>
        <w:t>of the project</w:t>
      </w:r>
      <w:r w:rsidR="005F6082">
        <w:rPr>
          <w:rFonts w:ascii="Arial" w:hAnsi="Arial"/>
          <w:sz w:val="22"/>
        </w:rPr>
        <w:t>, or evidencing continued site control of the land and depreciable real property identified at application/reservation as the project.  Specify a legal description for each building address; if more than one.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5</w:t>
      </w:r>
      <w:r>
        <w:rPr>
          <w:rFonts w:ascii="Arial" w:hAnsi="Arial"/>
          <w:sz w:val="22"/>
        </w:rPr>
        <w:t>)</w:t>
      </w:r>
      <w:r w:rsidR="005F6082">
        <w:rPr>
          <w:rFonts w:ascii="Arial" w:hAnsi="Arial"/>
          <w:sz w:val="22"/>
        </w:rPr>
        <w:tab/>
        <w:t>A written Accountant's Cert</w:t>
      </w:r>
      <w:r w:rsidR="007E665C">
        <w:rPr>
          <w:rFonts w:ascii="Arial" w:hAnsi="Arial"/>
          <w:sz w:val="22"/>
        </w:rPr>
        <w:t>ification (preferably using Minnesota Housing</w:t>
      </w:r>
      <w:r w:rsidR="005F6082">
        <w:rPr>
          <w:rFonts w:ascii="Arial" w:hAnsi="Arial"/>
          <w:sz w:val="22"/>
        </w:rPr>
        <w:t>’s form LIHC-6) verifying: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w:t>
      </w:r>
      <w:r w:rsidR="005F6082">
        <w:rPr>
          <w:rFonts w:ascii="Arial" w:hAnsi="Arial"/>
          <w:sz w:val="22"/>
        </w:rPr>
        <w:t>a</w:t>
      </w:r>
      <w:r>
        <w:rPr>
          <w:rFonts w:ascii="Arial" w:hAnsi="Arial"/>
          <w:sz w:val="22"/>
        </w:rPr>
        <w:t>)</w:t>
      </w:r>
      <w:r w:rsidR="005F6082">
        <w:rPr>
          <w:rFonts w:ascii="Arial" w:hAnsi="Arial"/>
          <w:sz w:val="22"/>
        </w:rPr>
        <w:tab/>
        <w:t>The amount of the reasonably expected basis, the carryover basis, and the percent of the expenses incurred.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600022" w:rsidRDefault="00B07AD5" w:rsidP="006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w:t>
      </w:r>
      <w:r w:rsidR="005F6082">
        <w:rPr>
          <w:rFonts w:ascii="Arial" w:hAnsi="Arial"/>
          <w:sz w:val="22"/>
        </w:rPr>
        <w:t>b</w:t>
      </w:r>
      <w:r>
        <w:rPr>
          <w:rFonts w:ascii="Arial" w:hAnsi="Arial"/>
          <w:sz w:val="22"/>
        </w:rPr>
        <w:t>)</w:t>
      </w:r>
      <w:r w:rsidR="005F6082">
        <w:rPr>
          <w:rFonts w:ascii="Arial" w:hAnsi="Arial"/>
          <w:sz w:val="22"/>
        </w:rPr>
        <w:tab/>
        <w:t>More than 10 percent of the reasonably expected basis o</w:t>
      </w:r>
      <w:r w:rsidR="008D3D5E">
        <w:rPr>
          <w:rFonts w:ascii="Arial" w:hAnsi="Arial"/>
          <w:sz w:val="22"/>
        </w:rPr>
        <w:t xml:space="preserve">f the project will </w:t>
      </w:r>
      <w:r w:rsidR="005F6082">
        <w:rPr>
          <w:rFonts w:ascii="Arial" w:hAnsi="Arial"/>
          <w:sz w:val="22"/>
        </w:rPr>
        <w:t xml:space="preserve">be expended by the later of the date which is </w:t>
      </w:r>
      <w:r w:rsidR="00600022">
        <w:rPr>
          <w:rFonts w:ascii="Arial" w:hAnsi="Arial"/>
          <w:sz w:val="22"/>
        </w:rPr>
        <w:t>12</w:t>
      </w:r>
      <w:r w:rsidR="005F6082">
        <w:rPr>
          <w:rFonts w:ascii="Arial" w:hAnsi="Arial"/>
          <w:sz w:val="22"/>
        </w:rPr>
        <w:t xml:space="preserve"> months after the date that the </w:t>
      </w:r>
      <w:r w:rsidR="008D3D5E">
        <w:rPr>
          <w:rFonts w:ascii="Arial" w:hAnsi="Arial"/>
          <w:sz w:val="22"/>
        </w:rPr>
        <w:t>Carryover A</w:t>
      </w:r>
      <w:r w:rsidR="005F6082">
        <w:rPr>
          <w:rFonts w:ascii="Arial" w:hAnsi="Arial"/>
          <w:sz w:val="22"/>
        </w:rPr>
        <w:t xml:space="preserve">llocation is made or the close of the calendar year in which the </w:t>
      </w:r>
      <w:r w:rsidR="008D3D5E">
        <w:rPr>
          <w:rFonts w:ascii="Arial" w:hAnsi="Arial"/>
          <w:sz w:val="22"/>
        </w:rPr>
        <w:t>Carryover A</w:t>
      </w:r>
      <w:r w:rsidR="005F6082">
        <w:rPr>
          <w:rFonts w:ascii="Arial" w:hAnsi="Arial"/>
          <w:sz w:val="22"/>
        </w:rPr>
        <w:t xml:space="preserve">llocation is made.  </w:t>
      </w:r>
    </w:p>
    <w:p w:rsidR="00600022" w:rsidRDefault="00600022" w:rsidP="006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p>
    <w:p w:rsidR="005F6082" w:rsidRDefault="00600022" w:rsidP="006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sz w:val="22"/>
        </w:rPr>
      </w:pPr>
      <w:r>
        <w:rPr>
          <w:rFonts w:ascii="Arial" w:hAnsi="Arial"/>
          <w:sz w:val="22"/>
        </w:rPr>
        <w:tab/>
      </w:r>
      <w:r>
        <w:rPr>
          <w:rFonts w:ascii="Arial" w:hAnsi="Arial"/>
          <w:sz w:val="22"/>
        </w:rPr>
        <w:tab/>
      </w:r>
      <w:r w:rsidR="00B07AD5">
        <w:rPr>
          <w:rFonts w:ascii="Arial" w:hAnsi="Arial"/>
          <w:sz w:val="22"/>
        </w:rPr>
        <w:t>(</w:t>
      </w:r>
      <w:r w:rsidR="00351A44">
        <w:rPr>
          <w:rFonts w:ascii="Arial" w:hAnsi="Arial"/>
          <w:sz w:val="22"/>
        </w:rPr>
        <w:t>6</w:t>
      </w:r>
      <w:r w:rsidR="00B07AD5">
        <w:rPr>
          <w:rFonts w:ascii="Arial" w:hAnsi="Arial"/>
          <w:sz w:val="22"/>
        </w:rPr>
        <w:t>)</w:t>
      </w:r>
      <w:r w:rsidR="005F6082">
        <w:rPr>
          <w:rFonts w:ascii="Arial" w:hAnsi="Arial"/>
          <w:sz w:val="22"/>
        </w:rPr>
        <w:tab/>
        <w:t>Identification of the sources of construction, interim and permanent financing arrangements.  Secure a firm lender commitment in the form of a binding agreement as required in Minnesota Section 513.33.  The agreement must: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(a)</w:t>
      </w:r>
      <w:r>
        <w:rPr>
          <w:rFonts w:ascii="Arial" w:hAnsi="Arial"/>
          <w:sz w:val="22"/>
        </w:rPr>
        <w:tab/>
        <w:t>Be in writing;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(b)</w:t>
      </w:r>
      <w:r>
        <w:rPr>
          <w:rFonts w:ascii="Arial" w:hAnsi="Arial"/>
          <w:sz w:val="22"/>
        </w:rPr>
        <w:tab/>
        <w:t xml:space="preserve">Specify the consideration for the transaction and pertinent terms; </w:t>
      </w:r>
      <w:r>
        <w:rPr>
          <w:rFonts w:ascii="Arial" w:hAnsi="Arial"/>
          <w:sz w:val="22"/>
        </w:rPr>
        <w:lastRenderedPageBreak/>
        <w:t>and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(c)</w:t>
      </w:r>
      <w:r>
        <w:rPr>
          <w:rFonts w:ascii="Arial" w:hAnsi="Arial"/>
          <w:sz w:val="22"/>
        </w:rPr>
        <w:tab/>
        <w:t xml:space="preserve">Be signed by </w:t>
      </w:r>
      <w:r w:rsidR="007E21A6">
        <w:rPr>
          <w:rFonts w:ascii="Arial" w:hAnsi="Arial"/>
          <w:sz w:val="22"/>
        </w:rPr>
        <w:t>both the lender and the owner</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7</w:t>
      </w:r>
      <w:r>
        <w:rPr>
          <w:rFonts w:ascii="Arial" w:hAnsi="Arial"/>
          <w:sz w:val="22"/>
        </w:rPr>
        <w:t>)</w:t>
      </w:r>
      <w:r w:rsidR="005F6082">
        <w:rPr>
          <w:rFonts w:ascii="Arial" w:hAnsi="Arial"/>
          <w:sz w:val="22"/>
        </w:rPr>
        <w:tab/>
        <w:t>A description of any governmental assistance and/or rental assistance.  This includes copies of any contracts/agreements executed or any applications made for rental assistance grants for the project.</w:t>
      </w:r>
    </w:p>
    <w:p w:rsidR="00C309A5" w:rsidRDefault="00C3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8</w:t>
      </w:r>
      <w:r>
        <w:rPr>
          <w:rFonts w:ascii="Arial" w:hAnsi="Arial"/>
          <w:sz w:val="22"/>
        </w:rPr>
        <w:t>)</w:t>
      </w:r>
      <w:r w:rsidR="005F6082">
        <w:rPr>
          <w:rFonts w:ascii="Arial" w:hAnsi="Arial"/>
          <w:sz w:val="22"/>
        </w:rPr>
        <w:tab/>
        <w:t>A 15-year pro</w:t>
      </w:r>
      <w:r w:rsidR="002F3A22">
        <w:rPr>
          <w:rFonts w:ascii="Arial" w:hAnsi="Arial"/>
          <w:sz w:val="22"/>
        </w:rPr>
        <w:t xml:space="preserve"> </w:t>
      </w:r>
      <w:r w:rsidR="005F6082">
        <w:rPr>
          <w:rFonts w:ascii="Arial" w:hAnsi="Arial"/>
          <w:sz w:val="22"/>
        </w:rPr>
        <w:t>forma signed by the lending institution signifying that they are a</w:t>
      </w:r>
      <w:r w:rsidR="007E21A6">
        <w:rPr>
          <w:rFonts w:ascii="Arial" w:hAnsi="Arial"/>
          <w:sz w:val="22"/>
        </w:rPr>
        <w:t>ware of the figures presented in</w:t>
      </w:r>
      <w:r w:rsidR="005F6082">
        <w:rPr>
          <w:rFonts w:ascii="Arial" w:hAnsi="Arial"/>
          <w:sz w:val="22"/>
        </w:rPr>
        <w:t xml:space="preserve"> the </w:t>
      </w:r>
      <w:r w:rsidR="00600022">
        <w:rPr>
          <w:rFonts w:ascii="Arial" w:hAnsi="Arial" w:cs="Arial"/>
          <w:sz w:val="22"/>
          <w:szCs w:val="22"/>
        </w:rPr>
        <w:t>HTC</w:t>
      </w:r>
      <w:r w:rsidR="005F6082">
        <w:rPr>
          <w:rFonts w:ascii="Arial" w:hAnsi="Arial"/>
          <w:sz w:val="22"/>
        </w:rPr>
        <w:t xml:space="preserve"> application;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9</w:t>
      </w:r>
      <w:r>
        <w:rPr>
          <w:rFonts w:ascii="Arial" w:hAnsi="Arial"/>
          <w:sz w:val="22"/>
        </w:rPr>
        <w:t>)</w:t>
      </w:r>
      <w:r w:rsidR="005F6082">
        <w:rPr>
          <w:rFonts w:ascii="Arial" w:hAnsi="Arial"/>
          <w:sz w:val="22"/>
        </w:rPr>
        <w:tab/>
        <w:t xml:space="preserve">Information on the ownership entity, including an executed copy of the partnership agreement or </w:t>
      </w:r>
      <w:r w:rsidR="007E21A6">
        <w:rPr>
          <w:rFonts w:ascii="Arial" w:hAnsi="Arial"/>
          <w:sz w:val="22"/>
        </w:rPr>
        <w:t>operating agreement</w:t>
      </w:r>
      <w:r w:rsidR="005F6082">
        <w:rPr>
          <w:rFonts w:ascii="Arial" w:hAnsi="Arial"/>
          <w:sz w:val="22"/>
        </w:rPr>
        <w:t>, and a copy of the certificate of registration from the Secretary of State in the State of Minnesota; and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B07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10</w:t>
      </w:r>
      <w:r>
        <w:rPr>
          <w:rFonts w:ascii="Arial" w:hAnsi="Arial"/>
          <w:sz w:val="22"/>
        </w:rPr>
        <w:t>)</w:t>
      </w:r>
      <w:r w:rsidR="007E21A6">
        <w:rPr>
          <w:rFonts w:ascii="Arial" w:hAnsi="Arial"/>
          <w:sz w:val="22"/>
        </w:rPr>
        <w:tab/>
      </w:r>
      <w:r w:rsidR="001A6D81">
        <w:rPr>
          <w:rFonts w:ascii="Arial" w:hAnsi="Arial"/>
          <w:sz w:val="22"/>
        </w:rPr>
        <w:t>A comprehensive market study</w:t>
      </w:r>
      <w:r w:rsidR="005F6082">
        <w:rPr>
          <w:rFonts w:ascii="Arial" w:hAnsi="Arial"/>
          <w:sz w:val="22"/>
        </w:rPr>
        <w:t xml:space="preserve">, conducted by a third party approved by </w:t>
      </w:r>
      <w:r w:rsidR="00894290">
        <w:rPr>
          <w:rFonts w:ascii="Arial" w:hAnsi="Arial"/>
          <w:sz w:val="22"/>
        </w:rPr>
        <w:t>CPED</w:t>
      </w:r>
      <w:r w:rsidR="005F6082">
        <w:rPr>
          <w:rFonts w:ascii="Arial" w:hAnsi="Arial"/>
          <w:sz w:val="22"/>
        </w:rPr>
        <w:t xml:space="preserve"> or HRA staff, of the housing needs of low-income individuals in the area served by the project.</w:t>
      </w:r>
    </w:p>
    <w:p w:rsidR="00EF0930" w:rsidRDefault="00EF0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EF0930" w:rsidRPr="00FD13C7" w:rsidRDefault="00B07AD5" w:rsidP="00EF0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EF0930" w:rsidRPr="00FD13C7">
        <w:rPr>
          <w:rFonts w:ascii="Arial" w:hAnsi="Arial"/>
          <w:sz w:val="22"/>
        </w:rPr>
        <w:t>1</w:t>
      </w:r>
      <w:r w:rsidR="00351A44">
        <w:rPr>
          <w:rFonts w:ascii="Arial" w:hAnsi="Arial"/>
          <w:sz w:val="22"/>
        </w:rPr>
        <w:t>1</w:t>
      </w:r>
      <w:r w:rsidR="00C93522">
        <w:rPr>
          <w:rFonts w:ascii="Arial" w:hAnsi="Arial"/>
          <w:sz w:val="22"/>
        </w:rPr>
        <w:t>)</w:t>
      </w:r>
      <w:r w:rsidR="00EF0930" w:rsidRPr="00FD13C7">
        <w:rPr>
          <w:rFonts w:ascii="Arial" w:hAnsi="Arial"/>
          <w:sz w:val="22"/>
        </w:rPr>
        <w:tab/>
      </w:r>
      <w:r w:rsidR="007E21A6">
        <w:rPr>
          <w:rFonts w:ascii="Arial" w:hAnsi="Arial"/>
          <w:sz w:val="22"/>
        </w:rPr>
        <w:t xml:space="preserve">The </w:t>
      </w:r>
      <w:r w:rsidR="00F74653">
        <w:rPr>
          <w:rFonts w:ascii="Arial" w:hAnsi="Arial"/>
          <w:sz w:val="22"/>
        </w:rPr>
        <w:t>o</w:t>
      </w:r>
      <w:r w:rsidR="00EF0930" w:rsidRPr="00FD13C7">
        <w:rPr>
          <w:rFonts w:ascii="Arial" w:hAnsi="Arial"/>
          <w:sz w:val="22"/>
        </w:rPr>
        <w:t xml:space="preserve">wner must provide its tax identification number as part of the Carryover </w:t>
      </w:r>
      <w:r w:rsidR="00F74653">
        <w:rPr>
          <w:rFonts w:ascii="Arial" w:hAnsi="Arial"/>
          <w:sz w:val="22"/>
        </w:rPr>
        <w:t xml:space="preserve">Allocation </w:t>
      </w:r>
      <w:r w:rsidR="00EF0930" w:rsidRPr="00FD13C7">
        <w:rPr>
          <w:rFonts w:ascii="Arial" w:hAnsi="Arial"/>
          <w:sz w:val="22"/>
        </w:rPr>
        <w:t>application.</w:t>
      </w:r>
    </w:p>
    <w:p w:rsidR="00A02D20" w:rsidRDefault="00A02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b/>
          <w:sz w:val="22"/>
        </w:rPr>
      </w:pPr>
    </w:p>
    <w:p w:rsidR="005F6082" w:rsidRPr="00E03091" w:rsidRDefault="00CE30A2" w:rsidP="0042138B">
      <w:pPr>
        <w:pStyle w:val="Heading2"/>
        <w:spacing w:before="0" w:after="0"/>
        <w:ind w:left="720"/>
        <w:rPr>
          <w:rFonts w:ascii="Arial" w:hAnsi="Arial"/>
          <w:i w:val="0"/>
          <w:sz w:val="22"/>
        </w:rPr>
      </w:pPr>
      <w:bookmarkStart w:id="57" w:name="_Toc511903035"/>
      <w:r w:rsidRPr="00E03091">
        <w:rPr>
          <w:rFonts w:ascii="Arial" w:hAnsi="Arial"/>
          <w:i w:val="0"/>
          <w:sz w:val="22"/>
        </w:rPr>
        <w:t>D</w:t>
      </w:r>
      <w:r w:rsidR="005F6082" w:rsidRPr="00E03091">
        <w:rPr>
          <w:rFonts w:ascii="Arial" w:hAnsi="Arial"/>
          <w:i w:val="0"/>
          <w:sz w:val="22"/>
        </w:rPr>
        <w:t>.</w:t>
      </w:r>
      <w:r w:rsidR="005F6082" w:rsidRPr="00E03091">
        <w:rPr>
          <w:rFonts w:ascii="Arial" w:hAnsi="Arial"/>
          <w:i w:val="0"/>
          <w:sz w:val="22"/>
        </w:rPr>
        <w:tab/>
        <w:t>Placed in Service</w:t>
      </w:r>
      <w:r w:rsidR="00F74653">
        <w:rPr>
          <w:rFonts w:ascii="Arial" w:hAnsi="Arial"/>
          <w:i w:val="0"/>
          <w:sz w:val="22"/>
        </w:rPr>
        <w:t xml:space="preserve"> – Final Allocation</w:t>
      </w:r>
      <w:r w:rsidR="005F6082" w:rsidRPr="00E03091">
        <w:rPr>
          <w:rFonts w:ascii="Arial" w:hAnsi="Arial"/>
          <w:i w:val="0"/>
          <w:sz w:val="22"/>
        </w:rPr>
        <w:fldChar w:fldCharType="begin"/>
      </w:r>
      <w:r w:rsidR="005F6082" w:rsidRPr="00E03091">
        <w:rPr>
          <w:rFonts w:ascii="Arial" w:hAnsi="Arial"/>
          <w:i w:val="0"/>
          <w:sz w:val="22"/>
        </w:rPr>
        <w:instrText>tc \l2 "C.</w:instrText>
      </w:r>
      <w:r w:rsidR="005F6082" w:rsidRPr="00E03091">
        <w:rPr>
          <w:rFonts w:ascii="Arial" w:hAnsi="Arial"/>
          <w:i w:val="0"/>
          <w:sz w:val="22"/>
        </w:rPr>
        <w:tab/>
        <w:instrText>Placed in Service</w:instrText>
      </w:r>
      <w:r w:rsidR="005F6082" w:rsidRPr="00E03091">
        <w:rPr>
          <w:rFonts w:ascii="Arial" w:hAnsi="Arial"/>
          <w:i w:val="0"/>
          <w:sz w:val="22"/>
        </w:rPr>
        <w:fldChar w:fldCharType="end"/>
      </w:r>
      <w:bookmarkEnd w:id="57"/>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following documents must be submitted no later than </w:t>
      </w:r>
      <w:r>
        <w:rPr>
          <w:rFonts w:ascii="Arial" w:hAnsi="Arial"/>
          <w:b/>
          <w:sz w:val="22"/>
        </w:rPr>
        <w:t>November 1</w:t>
      </w:r>
      <w:r>
        <w:rPr>
          <w:rFonts w:ascii="Arial" w:hAnsi="Arial"/>
          <w:b/>
          <w:sz w:val="22"/>
          <w:vertAlign w:val="superscript"/>
        </w:rPr>
        <w:t>st</w:t>
      </w:r>
      <w:r>
        <w:rPr>
          <w:rFonts w:ascii="Arial" w:hAnsi="Arial"/>
          <w:b/>
          <w:sz w:val="22"/>
        </w:rPr>
        <w:t xml:space="preserve"> </w:t>
      </w:r>
      <w:r w:rsidR="00F74653">
        <w:rPr>
          <w:rFonts w:ascii="Arial" w:hAnsi="Arial"/>
          <w:sz w:val="22"/>
        </w:rPr>
        <w:t>if the owner</w:t>
      </w:r>
      <w:r>
        <w:rPr>
          <w:rFonts w:ascii="Arial" w:hAnsi="Arial"/>
          <w:sz w:val="22"/>
        </w:rPr>
        <w:t xml:space="preserve"> has a year-end </w:t>
      </w:r>
      <w:r w:rsidR="00F74653">
        <w:rPr>
          <w:rFonts w:ascii="Arial" w:hAnsi="Arial"/>
          <w:sz w:val="22"/>
        </w:rPr>
        <w:t xml:space="preserve">Form </w:t>
      </w:r>
      <w:r>
        <w:rPr>
          <w:rFonts w:ascii="Arial" w:hAnsi="Arial"/>
          <w:sz w:val="22"/>
        </w:rPr>
        <w:t xml:space="preserve">8609 allocation deadline of </w:t>
      </w:r>
      <w:r w:rsidR="00600022">
        <w:rPr>
          <w:rFonts w:ascii="Arial" w:hAnsi="Arial" w:cs="Arial"/>
          <w:sz w:val="22"/>
          <w:szCs w:val="22"/>
        </w:rPr>
        <w:t>HTCs</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i/>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i/>
          <w:sz w:val="22"/>
        </w:rPr>
        <w:t xml:space="preserve">The placed-in-service date for </w:t>
      </w:r>
      <w:r w:rsidR="007E21A6" w:rsidRPr="007E21A6">
        <w:rPr>
          <w:rFonts w:ascii="Arial" w:hAnsi="Arial"/>
          <w:i/>
          <w:sz w:val="22"/>
        </w:rPr>
        <w:t>HTC</w:t>
      </w:r>
      <w:r w:rsidR="007E21A6">
        <w:rPr>
          <w:rFonts w:ascii="Arial" w:hAnsi="Arial"/>
          <w:sz w:val="22"/>
        </w:rPr>
        <w:t xml:space="preserve"> </w:t>
      </w:r>
      <w:r w:rsidR="00F74653">
        <w:rPr>
          <w:rFonts w:ascii="Arial" w:hAnsi="Arial"/>
          <w:i/>
          <w:sz w:val="22"/>
        </w:rPr>
        <w:t xml:space="preserve">purposes of </w:t>
      </w:r>
      <w:r>
        <w:rPr>
          <w:rFonts w:ascii="Arial" w:hAnsi="Arial"/>
          <w:i/>
          <w:sz w:val="22"/>
        </w:rPr>
        <w:t>a newly constructed building, or for</w:t>
      </w:r>
      <w:r w:rsidR="00F74653">
        <w:rPr>
          <w:rFonts w:ascii="Arial" w:hAnsi="Arial"/>
          <w:i/>
          <w:sz w:val="22"/>
        </w:rPr>
        <w:t xml:space="preserve"> rehabilitation expenditures of </w:t>
      </w:r>
      <w:r>
        <w:rPr>
          <w:rFonts w:ascii="Arial" w:hAnsi="Arial"/>
          <w:i/>
          <w:sz w:val="22"/>
        </w:rPr>
        <w:t xml:space="preserve">an existing building, is the date when the first unit in the building is certified as available for occupancy generally.  The placed-in-service date must occur for all buildings within a project within two years after the award of the </w:t>
      </w:r>
      <w:r w:rsidR="007E21A6">
        <w:rPr>
          <w:rFonts w:ascii="Arial" w:hAnsi="Arial"/>
          <w:sz w:val="22"/>
        </w:rPr>
        <w:t>HTC</w:t>
      </w:r>
      <w:r>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0732CA" w:rsidRDefault="00F74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The Board will issue </w:t>
      </w:r>
      <w:r w:rsidR="005F6082">
        <w:rPr>
          <w:rFonts w:ascii="Arial" w:hAnsi="Arial"/>
          <w:sz w:val="22"/>
        </w:rPr>
        <w:t>Form 8609</w:t>
      </w:r>
      <w:r>
        <w:rPr>
          <w:rFonts w:ascii="Arial" w:hAnsi="Arial"/>
          <w:sz w:val="22"/>
        </w:rPr>
        <w:t>(s)</w:t>
      </w:r>
      <w:r w:rsidR="005F6082">
        <w:rPr>
          <w:rFonts w:ascii="Arial" w:hAnsi="Arial"/>
          <w:sz w:val="22"/>
        </w:rPr>
        <w:t xml:space="preserve"> when the following items have been received </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by the </w:t>
      </w:r>
      <w:r w:rsidR="007E21A6">
        <w:rPr>
          <w:rFonts w:ascii="Arial" w:hAnsi="Arial"/>
          <w:sz w:val="22"/>
        </w:rPr>
        <w:t>Board</w:t>
      </w:r>
      <w:r>
        <w:rPr>
          <w:rFonts w:ascii="Arial" w:hAnsi="Arial"/>
          <w:sz w:val="22"/>
        </w:rPr>
        <w:t xml:space="preserve"> in satisfactory form and substance.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 xml:space="preserve">Submit the following with a transmittal letter indicating the project name, address and </w:t>
      </w:r>
      <w:r w:rsidR="007E21A6">
        <w:rPr>
          <w:rFonts w:ascii="Arial" w:hAnsi="Arial"/>
          <w:sz w:val="22"/>
        </w:rPr>
        <w:t xml:space="preserve">HTC </w:t>
      </w:r>
      <w:r>
        <w:rPr>
          <w:rFonts w:ascii="Arial" w:hAnsi="Arial"/>
          <w:sz w:val="22"/>
        </w:rPr>
        <w:t>commitment date.  The letter should request the issuanc</w:t>
      </w:r>
      <w:r w:rsidR="00EE713F">
        <w:rPr>
          <w:rFonts w:ascii="Arial" w:hAnsi="Arial"/>
          <w:sz w:val="22"/>
        </w:rPr>
        <w:t>e of</w:t>
      </w:r>
      <w:r>
        <w:rPr>
          <w:rFonts w:ascii="Arial" w:hAnsi="Arial"/>
          <w:sz w:val="22"/>
        </w:rPr>
        <w:t xml:space="preserve"> Form 8609</w:t>
      </w:r>
      <w:r w:rsidR="00EE713F">
        <w:rPr>
          <w:rFonts w:ascii="Arial" w:hAnsi="Arial"/>
          <w:sz w:val="22"/>
        </w:rPr>
        <w:t>(s)</w:t>
      </w:r>
      <w:r>
        <w:rPr>
          <w:rFonts w:ascii="Arial" w:hAnsi="Arial"/>
          <w:sz w:val="22"/>
        </w:rPr>
        <w:t xml:space="preserve"> and list the following re</w:t>
      </w:r>
      <w:r w:rsidR="007E21A6">
        <w:rPr>
          <w:rFonts w:ascii="Arial" w:hAnsi="Arial"/>
          <w:sz w:val="22"/>
        </w:rPr>
        <w:t>quired documents.  If there</w:t>
      </w:r>
      <w:r w:rsidR="00EE713F">
        <w:rPr>
          <w:rFonts w:ascii="Arial" w:hAnsi="Arial"/>
          <w:sz w:val="22"/>
        </w:rPr>
        <w:t xml:space="preserve"> h</w:t>
      </w:r>
      <w:r w:rsidR="007E21A6">
        <w:rPr>
          <w:rFonts w:ascii="Arial" w:hAnsi="Arial"/>
          <w:sz w:val="22"/>
        </w:rPr>
        <w:t xml:space="preserve">ave been </w:t>
      </w:r>
      <w:r w:rsidR="00E95873">
        <w:rPr>
          <w:rFonts w:ascii="Arial" w:hAnsi="Arial"/>
          <w:sz w:val="22"/>
        </w:rPr>
        <w:t>any changes from the original A</w:t>
      </w:r>
      <w:r>
        <w:rPr>
          <w:rFonts w:ascii="Arial" w:hAnsi="Arial"/>
          <w:sz w:val="22"/>
        </w:rPr>
        <w:t xml:space="preserve">pplication (e.g., rents, utility allowances, source of funds, uses of funds, etc.), submit </w:t>
      </w:r>
      <w:r w:rsidR="00EE713F">
        <w:rPr>
          <w:rFonts w:ascii="Arial" w:hAnsi="Arial"/>
          <w:sz w:val="22"/>
        </w:rPr>
        <w:t xml:space="preserve">the </w:t>
      </w:r>
      <w:r>
        <w:rPr>
          <w:rFonts w:ascii="Arial" w:hAnsi="Arial"/>
          <w:sz w:val="22"/>
        </w:rPr>
        <w:t>revised pages of the application, re-date the pages and initial.  In the letter, please list the revised informatio</w:t>
      </w:r>
      <w:r w:rsidR="00EE713F">
        <w:rPr>
          <w:rFonts w:ascii="Arial" w:hAnsi="Arial"/>
          <w:sz w:val="22"/>
        </w:rPr>
        <w:t xml:space="preserve">n and explain the basis for such </w:t>
      </w:r>
      <w:r>
        <w:rPr>
          <w:rFonts w:ascii="Arial" w:hAnsi="Arial"/>
          <w:sz w:val="22"/>
        </w:rPr>
        <w:t>changes.  In particular, check to ensure that changes in number of units, rents, utility allowance, source of funds (loans, grants, etc.), hard and soft cost changes and qualified ba</w:t>
      </w:r>
      <w:r w:rsidR="00E95873">
        <w:rPr>
          <w:rFonts w:ascii="Arial" w:hAnsi="Arial"/>
          <w:sz w:val="22"/>
        </w:rPr>
        <w:t>sis are updated on the revised A</w:t>
      </w:r>
      <w:r>
        <w:rPr>
          <w:rFonts w:ascii="Arial" w:hAnsi="Arial"/>
          <w:sz w:val="22"/>
        </w:rPr>
        <w:t>pplication pages.  The letter must be dated and signed by the owner or authorized individual:</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51A44" w:rsidRDefault="00C93522" w:rsidP="0035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napToGrid/>
          <w:sz w:val="22"/>
        </w:rPr>
      </w:pPr>
      <w:r>
        <w:rPr>
          <w:rFonts w:ascii="Arial" w:hAnsi="Arial"/>
          <w:sz w:val="22"/>
        </w:rPr>
        <w:t>(</w:t>
      </w:r>
      <w:r w:rsidR="005F6082">
        <w:rPr>
          <w:rFonts w:ascii="Arial" w:hAnsi="Arial"/>
          <w:sz w:val="22"/>
        </w:rPr>
        <w:t>1</w:t>
      </w:r>
      <w:r>
        <w:rPr>
          <w:rFonts w:ascii="Arial" w:hAnsi="Arial"/>
          <w:sz w:val="22"/>
        </w:rPr>
        <w:t>)</w:t>
      </w:r>
      <w:r w:rsidR="005F6082">
        <w:rPr>
          <w:rFonts w:ascii="Arial" w:hAnsi="Arial"/>
          <w:sz w:val="22"/>
        </w:rPr>
        <w:tab/>
      </w:r>
      <w:r w:rsidR="00351A44">
        <w:rPr>
          <w:rFonts w:ascii="Arial" w:hAnsi="Arial"/>
          <w:sz w:val="22"/>
        </w:rPr>
        <w:t>A check for the appropriate Special Counsel Fee (See Section VIII).</w:t>
      </w:r>
    </w:p>
    <w:p w:rsidR="00351A44" w:rsidRDefault="00351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lastRenderedPageBreak/>
        <w:t>(</w:t>
      </w:r>
      <w:r w:rsidR="00351A44">
        <w:rPr>
          <w:rFonts w:ascii="Arial" w:hAnsi="Arial"/>
          <w:sz w:val="22"/>
        </w:rPr>
        <w:t>2</w:t>
      </w:r>
      <w:r>
        <w:rPr>
          <w:rFonts w:ascii="Arial" w:hAnsi="Arial"/>
          <w:sz w:val="22"/>
        </w:rPr>
        <w:t>)</w:t>
      </w:r>
      <w:r w:rsidR="00351A44">
        <w:rPr>
          <w:rFonts w:ascii="Arial" w:hAnsi="Arial"/>
          <w:sz w:val="22"/>
        </w:rPr>
        <w:tab/>
      </w:r>
      <w:r w:rsidR="005F6082">
        <w:rPr>
          <w:rFonts w:ascii="Arial" w:hAnsi="Arial"/>
          <w:sz w:val="22"/>
        </w:rPr>
        <w:t xml:space="preserve">Evidence all buildings </w:t>
      </w:r>
      <w:r w:rsidR="00EE713F">
        <w:rPr>
          <w:rFonts w:ascii="Arial" w:hAnsi="Arial"/>
          <w:sz w:val="22"/>
        </w:rPr>
        <w:t>in the project have been Placed-in-Service.  A c</w:t>
      </w:r>
      <w:r w:rsidR="005F6082">
        <w:rPr>
          <w:rFonts w:ascii="Arial" w:hAnsi="Arial"/>
          <w:sz w:val="22"/>
        </w:rPr>
        <w:t xml:space="preserve">opy of </w:t>
      </w:r>
      <w:r w:rsidR="00EE713F">
        <w:rPr>
          <w:rFonts w:ascii="Arial" w:hAnsi="Arial"/>
          <w:sz w:val="22"/>
        </w:rPr>
        <w:t xml:space="preserve">the </w:t>
      </w:r>
      <w:r w:rsidR="005F6082">
        <w:rPr>
          <w:rFonts w:ascii="Arial" w:hAnsi="Arial"/>
          <w:sz w:val="22"/>
        </w:rPr>
        <w:t xml:space="preserve">Certificate of Occupancy provided by local governmental authority having jurisdiction for each building.  If not available from </w:t>
      </w:r>
      <w:r w:rsidR="00EE713F">
        <w:rPr>
          <w:rFonts w:ascii="Arial" w:hAnsi="Arial"/>
          <w:sz w:val="22"/>
        </w:rPr>
        <w:t xml:space="preserve">the </w:t>
      </w:r>
      <w:r w:rsidR="005F6082">
        <w:rPr>
          <w:rFonts w:ascii="Arial" w:hAnsi="Arial"/>
          <w:sz w:val="22"/>
        </w:rPr>
        <w:t>local government, a Certificate of Substantial Completion prepared by the architect will be accepted.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3</w:t>
      </w:r>
      <w:r>
        <w:rPr>
          <w:rFonts w:ascii="Arial" w:hAnsi="Arial"/>
          <w:sz w:val="22"/>
        </w:rPr>
        <w:t>)</w:t>
      </w:r>
      <w:r w:rsidR="005F6082">
        <w:rPr>
          <w:rFonts w:ascii="Arial" w:hAnsi="Arial"/>
          <w:sz w:val="22"/>
        </w:rPr>
        <w:tab/>
        <w:t xml:space="preserve"> A current utility allowance schedule.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4</w:t>
      </w:r>
      <w:r>
        <w:rPr>
          <w:rFonts w:ascii="Arial" w:hAnsi="Arial"/>
          <w:sz w:val="22"/>
        </w:rPr>
        <w:t>)</w:t>
      </w:r>
      <w:r w:rsidR="005F6082">
        <w:rPr>
          <w:rFonts w:ascii="Arial" w:hAnsi="Arial"/>
          <w:sz w:val="22"/>
        </w:rPr>
        <w:tab/>
        <w:t>Cost certification by C</w:t>
      </w:r>
      <w:r w:rsidR="00EE713F">
        <w:rPr>
          <w:rFonts w:ascii="Arial" w:hAnsi="Arial"/>
          <w:sz w:val="22"/>
        </w:rPr>
        <w:t>P</w:t>
      </w:r>
      <w:r w:rsidR="00351A44">
        <w:rPr>
          <w:rFonts w:ascii="Arial" w:hAnsi="Arial"/>
          <w:sz w:val="22"/>
        </w:rPr>
        <w:t xml:space="preserve">A (Minnesota Housing </w:t>
      </w:r>
      <w:r w:rsidR="005F6082">
        <w:rPr>
          <w:rFonts w:ascii="Arial" w:hAnsi="Arial"/>
          <w:sz w:val="22"/>
        </w:rPr>
        <w:t>Form LIHC-9).</w:t>
      </w:r>
    </w:p>
    <w:p w:rsidR="005F6082" w:rsidRDefault="005F6082" w:rsidP="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C93522" w:rsidRDefault="00C93522" w:rsidP="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5</w:t>
      </w:r>
      <w:r>
        <w:rPr>
          <w:rFonts w:ascii="Arial" w:hAnsi="Arial"/>
          <w:sz w:val="22"/>
        </w:rPr>
        <w:t>)</w:t>
      </w:r>
      <w:r w:rsidR="00E95873">
        <w:rPr>
          <w:rFonts w:ascii="Arial" w:hAnsi="Arial"/>
          <w:sz w:val="22"/>
        </w:rPr>
        <w:tab/>
        <w:t>Updated A</w:t>
      </w:r>
      <w:r w:rsidR="005F6082">
        <w:rPr>
          <w:rFonts w:ascii="Arial" w:hAnsi="Arial"/>
          <w:sz w:val="22"/>
        </w:rPr>
        <w:t>pplic</w:t>
      </w:r>
      <w:r w:rsidR="00351A44">
        <w:rPr>
          <w:rFonts w:ascii="Arial" w:hAnsi="Arial"/>
          <w:sz w:val="22"/>
        </w:rPr>
        <w:t xml:space="preserve">ation (Minnesota Housing </w:t>
      </w:r>
      <w:r w:rsidR="00E95873">
        <w:rPr>
          <w:rFonts w:ascii="Arial" w:hAnsi="Arial"/>
          <w:sz w:val="22"/>
        </w:rPr>
        <w:t>Common Application Form</w:t>
      </w:r>
      <w:r w:rsidR="005F6082">
        <w:rPr>
          <w:rFonts w:ascii="Arial" w:hAnsi="Arial"/>
          <w:sz w:val="22"/>
        </w:rPr>
        <w:t>) signed by at least one general part</w:t>
      </w:r>
      <w:r w:rsidR="00600022">
        <w:rPr>
          <w:rFonts w:ascii="Arial" w:hAnsi="Arial"/>
          <w:sz w:val="22"/>
        </w:rPr>
        <w:t xml:space="preserve">ner involved in the </w:t>
      </w:r>
      <w:r w:rsidR="005F6082">
        <w:rPr>
          <w:rFonts w:ascii="Arial" w:hAnsi="Arial"/>
          <w:sz w:val="22"/>
        </w:rPr>
        <w:t>project.  Include the revised pages of changes from carryover application, highlight all changes, and re-date and initial the pages.</w:t>
      </w:r>
    </w:p>
    <w:p w:rsidR="005F6082" w:rsidRDefault="005F6082" w:rsidP="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5F6082" w:rsidRDefault="000732CA" w:rsidP="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rPr>
      </w:pPr>
      <w:r>
        <w:rPr>
          <w:rFonts w:ascii="Arial" w:hAnsi="Arial"/>
          <w:sz w:val="22"/>
        </w:rPr>
        <w:t xml:space="preserve">NOTE:  Applicant must also submit </w:t>
      </w:r>
      <w:r w:rsidR="00351A44">
        <w:rPr>
          <w:rFonts w:ascii="Arial" w:hAnsi="Arial"/>
          <w:sz w:val="22"/>
        </w:rPr>
        <w:t xml:space="preserve">the Minnesota Housing </w:t>
      </w:r>
      <w:r w:rsidR="0046328C">
        <w:rPr>
          <w:rFonts w:ascii="Arial" w:hAnsi="Arial"/>
          <w:sz w:val="22"/>
        </w:rPr>
        <w:t>Common Application Form i</w:t>
      </w:r>
      <w:r>
        <w:rPr>
          <w:rFonts w:ascii="Arial" w:hAnsi="Arial"/>
          <w:sz w:val="22"/>
        </w:rPr>
        <w:t>n its original electronic XLS format.</w:t>
      </w:r>
    </w:p>
    <w:p w:rsidR="000732CA" w:rsidRDefault="00073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5040"/>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5040"/>
        <w:jc w:val="both"/>
        <w:rPr>
          <w:rFonts w:ascii="Arial" w:hAnsi="Arial"/>
          <w:sz w:val="22"/>
        </w:rPr>
      </w:pPr>
      <w:r>
        <w:rPr>
          <w:rFonts w:ascii="Arial" w:hAnsi="Arial"/>
          <w:sz w:val="22"/>
        </w:rPr>
        <w:t>(</w:t>
      </w:r>
      <w:r w:rsidR="00351A44">
        <w:rPr>
          <w:rFonts w:ascii="Arial" w:hAnsi="Arial"/>
          <w:sz w:val="22"/>
        </w:rPr>
        <w:t>6</w:t>
      </w:r>
      <w:r>
        <w:rPr>
          <w:rFonts w:ascii="Arial" w:hAnsi="Arial"/>
          <w:sz w:val="22"/>
        </w:rPr>
        <w:t>)</w:t>
      </w:r>
      <w:r w:rsidR="005F6082">
        <w:rPr>
          <w:rFonts w:ascii="Arial" w:hAnsi="Arial"/>
          <w:sz w:val="22"/>
        </w:rPr>
        <w:tab/>
        <w:t xml:space="preserve">Final </w:t>
      </w:r>
      <w:r w:rsidR="00EE713F">
        <w:rPr>
          <w:rFonts w:ascii="Arial" w:hAnsi="Arial"/>
          <w:sz w:val="22"/>
        </w:rPr>
        <w:t>Opinion of Counsel</w:t>
      </w:r>
      <w:r w:rsidR="005F6082">
        <w:rPr>
          <w:rFonts w:ascii="Arial" w:hAnsi="Arial"/>
          <w:sz w:val="22"/>
        </w:rPr>
        <w:t xml:space="preserve"> in the form of</w:t>
      </w:r>
      <w:r w:rsidR="000732CA">
        <w:rPr>
          <w:rFonts w:ascii="Arial" w:hAnsi="Arial"/>
          <w:sz w:val="22"/>
        </w:rPr>
        <w:t xml:space="preserve"> </w:t>
      </w:r>
      <w:r w:rsidR="005F6082">
        <w:rPr>
          <w:rFonts w:ascii="Arial" w:hAnsi="Arial"/>
          <w:sz w:val="22"/>
        </w:rPr>
        <w:t>Exhibit 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7</w:t>
      </w:r>
      <w:r>
        <w:rPr>
          <w:rFonts w:ascii="Arial" w:hAnsi="Arial"/>
          <w:sz w:val="22"/>
        </w:rPr>
        <w:t>)</w:t>
      </w:r>
      <w:r w:rsidR="005F6082">
        <w:rPr>
          <w:rFonts w:ascii="Arial" w:hAnsi="Arial"/>
          <w:sz w:val="22"/>
        </w:rPr>
        <w:tab/>
        <w:t>Documentation of</w:t>
      </w:r>
      <w:r w:rsidR="00600022">
        <w:rPr>
          <w:rFonts w:ascii="Arial" w:hAnsi="Arial"/>
          <w:sz w:val="22"/>
        </w:rPr>
        <w:t xml:space="preserve"> the amount and disposition of reserves, c</w:t>
      </w:r>
      <w:r w:rsidR="005F6082">
        <w:rPr>
          <w:rFonts w:ascii="Arial" w:hAnsi="Arial"/>
          <w:sz w:val="22"/>
        </w:rPr>
        <w:t>ontingencies, and any cash savings.  If the abov</w:t>
      </w:r>
      <w:r w:rsidR="00EE713F">
        <w:rPr>
          <w:rFonts w:ascii="Arial" w:hAnsi="Arial"/>
          <w:sz w:val="22"/>
        </w:rPr>
        <w:t>e revert back to developer</w:t>
      </w:r>
      <w:r w:rsidR="005F6082">
        <w:rPr>
          <w:rFonts w:ascii="Arial" w:hAnsi="Arial"/>
          <w:sz w:val="22"/>
        </w:rPr>
        <w:t>, general partner or any ownership interest</w:t>
      </w:r>
      <w:r w:rsidR="00EE713F">
        <w:rPr>
          <w:rFonts w:ascii="Arial" w:hAnsi="Arial"/>
          <w:sz w:val="22"/>
        </w:rPr>
        <w:t xml:space="preserve"> thereof</w:t>
      </w:r>
      <w:r w:rsidR="005F6082">
        <w:rPr>
          <w:rFonts w:ascii="Arial" w:hAnsi="Arial"/>
          <w:sz w:val="22"/>
        </w:rPr>
        <w:t xml:space="preserve">, </w:t>
      </w:r>
      <w:r w:rsidR="00350A65">
        <w:rPr>
          <w:rFonts w:ascii="Arial" w:hAnsi="Arial"/>
          <w:sz w:val="22"/>
        </w:rPr>
        <w:t>CPED</w:t>
      </w:r>
      <w:r w:rsidR="005F6082">
        <w:rPr>
          <w:rFonts w:ascii="Arial" w:hAnsi="Arial"/>
          <w:sz w:val="22"/>
        </w:rPr>
        <w:t xml:space="preserve"> or HRA and the Board will consider these as deferred developer fees.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8</w:t>
      </w:r>
      <w:r>
        <w:rPr>
          <w:rFonts w:ascii="Arial" w:hAnsi="Arial"/>
          <w:sz w:val="22"/>
        </w:rPr>
        <w:t>)</w:t>
      </w:r>
      <w:r w:rsidR="005F6082">
        <w:rPr>
          <w:rFonts w:ascii="Arial" w:hAnsi="Arial"/>
          <w:sz w:val="22"/>
        </w:rPr>
        <w:tab/>
        <w:t xml:space="preserve">A </w:t>
      </w:r>
      <w:r w:rsidR="008D2853">
        <w:rPr>
          <w:rFonts w:ascii="Arial" w:hAnsi="Arial"/>
          <w:sz w:val="22"/>
        </w:rPr>
        <w:t xml:space="preserve">draft </w:t>
      </w:r>
      <w:r w:rsidR="005F6082">
        <w:rPr>
          <w:rFonts w:ascii="Arial" w:hAnsi="Arial"/>
          <w:sz w:val="22"/>
        </w:rPr>
        <w:t xml:space="preserve">copy of </w:t>
      </w:r>
      <w:r w:rsidR="007E21A6">
        <w:rPr>
          <w:rFonts w:ascii="Arial" w:hAnsi="Arial"/>
          <w:sz w:val="22"/>
        </w:rPr>
        <w:t>the Declaration</w:t>
      </w:r>
      <w:r w:rsidR="005F6082">
        <w:rPr>
          <w:rFonts w:ascii="Arial" w:hAnsi="Arial"/>
          <w:sz w:val="22"/>
        </w:rPr>
        <w:t xml:space="preserve">.  The </w:t>
      </w:r>
      <w:r w:rsidR="007E21A6">
        <w:rPr>
          <w:rFonts w:ascii="Arial" w:hAnsi="Arial"/>
          <w:sz w:val="22"/>
        </w:rPr>
        <w:t>Declaration</w:t>
      </w:r>
      <w:r w:rsidR="005F6082">
        <w:rPr>
          <w:rFonts w:ascii="Arial" w:hAnsi="Arial"/>
          <w:sz w:val="22"/>
        </w:rPr>
        <w:t xml:space="preserve"> must be completed and recorded before the end of the first </w:t>
      </w:r>
      <w:r w:rsidR="00600022">
        <w:rPr>
          <w:rFonts w:ascii="Arial" w:hAnsi="Arial"/>
          <w:sz w:val="22"/>
        </w:rPr>
        <w:t xml:space="preserve">year of the </w:t>
      </w:r>
      <w:r w:rsidR="007E21A6">
        <w:rPr>
          <w:rFonts w:ascii="Arial" w:hAnsi="Arial"/>
          <w:sz w:val="22"/>
        </w:rPr>
        <w:t xml:space="preserve">10-year </w:t>
      </w:r>
      <w:r w:rsidR="005F6082">
        <w:rPr>
          <w:rFonts w:ascii="Arial" w:hAnsi="Arial"/>
          <w:sz w:val="22"/>
        </w:rPr>
        <w:t xml:space="preserve">credit period to preserve the </w:t>
      </w:r>
      <w:r w:rsidR="00600022">
        <w:rPr>
          <w:rFonts w:ascii="Arial" w:hAnsi="Arial" w:cs="Arial"/>
          <w:sz w:val="22"/>
          <w:szCs w:val="22"/>
        </w:rPr>
        <w:t xml:space="preserve">HTC </w:t>
      </w:r>
      <w:r w:rsidR="005F6082">
        <w:rPr>
          <w:rFonts w:ascii="Arial" w:hAnsi="Arial"/>
          <w:sz w:val="22"/>
        </w:rPr>
        <w:t xml:space="preserve">allocated to the project.  Check with your tax advisor as to timing of filing and claiming of </w:t>
      </w:r>
      <w:r w:rsidR="00600022">
        <w:rPr>
          <w:rFonts w:ascii="Arial" w:hAnsi="Arial" w:cs="Arial"/>
          <w:sz w:val="22"/>
          <w:szCs w:val="22"/>
        </w:rPr>
        <w:t>HTC</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w:t>
      </w:r>
      <w:r w:rsidR="00351A44">
        <w:rPr>
          <w:rFonts w:ascii="Arial" w:hAnsi="Arial"/>
          <w:sz w:val="22"/>
        </w:rPr>
        <w:t>9</w:t>
      </w:r>
      <w:r>
        <w:rPr>
          <w:rFonts w:ascii="Arial" w:hAnsi="Arial"/>
          <w:sz w:val="22"/>
        </w:rPr>
        <w:t>)</w:t>
      </w:r>
      <w:r w:rsidR="005F6082">
        <w:rPr>
          <w:rFonts w:ascii="Arial" w:hAnsi="Arial"/>
          <w:sz w:val="22"/>
        </w:rPr>
        <w:tab/>
        <w:t xml:space="preserve">Documentation of the final amount of </w:t>
      </w:r>
      <w:r w:rsidR="00600022">
        <w:rPr>
          <w:rFonts w:ascii="Arial" w:hAnsi="Arial" w:cs="Arial"/>
          <w:sz w:val="22"/>
          <w:szCs w:val="22"/>
        </w:rPr>
        <w:t>HTC</w:t>
      </w:r>
      <w:r w:rsidR="005F6082">
        <w:rPr>
          <w:rFonts w:ascii="Arial" w:hAnsi="Arial"/>
          <w:sz w:val="22"/>
        </w:rPr>
        <w:t xml:space="preserve"> proceeds or receipts generated, copy of the final Syndication, Private Placement, or Individual Investment Agreements disclosing the terms and conditions. </w:t>
      </w:r>
    </w:p>
    <w:p w:rsidR="005F6082" w:rsidRDefault="005F6082">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(10)</w:t>
      </w:r>
      <w:r w:rsidR="005F6082">
        <w:rPr>
          <w:rFonts w:ascii="Arial" w:hAnsi="Arial"/>
          <w:sz w:val="22"/>
        </w:rPr>
        <w:tab/>
        <w:t>Or</w:t>
      </w:r>
      <w:r w:rsidR="00351A44">
        <w:rPr>
          <w:rFonts w:ascii="Arial" w:hAnsi="Arial"/>
          <w:sz w:val="22"/>
        </w:rPr>
        <w:t xml:space="preserve">iginal Owner Certification (Minnesota Housing </w:t>
      </w:r>
      <w:r w:rsidR="005F6082">
        <w:rPr>
          <w:rFonts w:ascii="Arial" w:hAnsi="Arial"/>
          <w:sz w:val="22"/>
        </w:rPr>
        <w:t>Form LIHC-3) verifying:</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w:t>
      </w:r>
      <w:r w:rsidR="005F6082">
        <w:rPr>
          <w:rFonts w:ascii="Arial" w:hAnsi="Arial"/>
          <w:sz w:val="22"/>
        </w:rPr>
        <w:t>a</w:t>
      </w:r>
      <w:r>
        <w:rPr>
          <w:rFonts w:ascii="Arial" w:hAnsi="Arial"/>
          <w:sz w:val="22"/>
        </w:rPr>
        <w:t>)</w:t>
      </w:r>
      <w:r w:rsidR="005F6082">
        <w:rPr>
          <w:rFonts w:ascii="Arial" w:hAnsi="Arial"/>
          <w:sz w:val="22"/>
        </w:rPr>
        <w:tab/>
        <w:t xml:space="preserve">The placed-in-service date as defined in IRS Notice 88-116 for each building and/or type of </w:t>
      </w:r>
      <w:r w:rsidR="002A7506">
        <w:rPr>
          <w:rFonts w:ascii="Arial" w:hAnsi="Arial"/>
          <w:sz w:val="22"/>
        </w:rPr>
        <w:t>HTC</w:t>
      </w:r>
      <w:r w:rsidR="005F6082">
        <w:rPr>
          <w:rFonts w:ascii="Arial" w:hAnsi="Arial"/>
          <w:sz w:val="22"/>
        </w:rPr>
        <w:t xml:space="preserve">.  Month and year should correspond with </w:t>
      </w:r>
      <w:r w:rsidR="00EE713F">
        <w:rPr>
          <w:rFonts w:ascii="Arial" w:hAnsi="Arial"/>
          <w:sz w:val="22"/>
        </w:rPr>
        <w:t xml:space="preserve">the </w:t>
      </w:r>
      <w:r w:rsidR="005F6082">
        <w:rPr>
          <w:rFonts w:ascii="Arial" w:hAnsi="Arial"/>
          <w:sz w:val="22"/>
        </w:rPr>
        <w:t>certificate</w:t>
      </w:r>
      <w:r w:rsidR="00EE713F">
        <w:rPr>
          <w:rFonts w:ascii="Arial" w:hAnsi="Arial"/>
          <w:sz w:val="22"/>
        </w:rPr>
        <w:t xml:space="preserve"> of occupancy</w:t>
      </w:r>
      <w:r w:rsidR="005F6082">
        <w:rPr>
          <w:rFonts w:ascii="Arial" w:hAnsi="Arial"/>
          <w:sz w:val="22"/>
        </w:rPr>
        <w:t>.  If the month and year do not correspond, submit a written statement indicating the reason</w:t>
      </w:r>
      <w:r w:rsidR="00EE713F">
        <w:rPr>
          <w:rFonts w:ascii="Arial" w:hAnsi="Arial"/>
          <w:sz w:val="22"/>
        </w:rPr>
        <w:t xml:space="preserve"> why</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Arial" w:hAnsi="Arial"/>
          <w:sz w:val="22"/>
        </w:rPr>
      </w:pPr>
      <w:r>
        <w:rPr>
          <w:rFonts w:ascii="Arial" w:hAnsi="Arial"/>
          <w:sz w:val="22"/>
        </w:rPr>
        <w:t>(</w:t>
      </w:r>
      <w:r w:rsidR="005F6082">
        <w:rPr>
          <w:rFonts w:ascii="Arial" w:hAnsi="Arial"/>
          <w:sz w:val="22"/>
        </w:rPr>
        <w:t>b</w:t>
      </w:r>
      <w:r>
        <w:rPr>
          <w:rFonts w:ascii="Arial" w:hAnsi="Arial"/>
          <w:sz w:val="22"/>
        </w:rPr>
        <w:t>)</w:t>
      </w:r>
      <w:r w:rsidR="005F6082">
        <w:rPr>
          <w:rFonts w:ascii="Arial" w:hAnsi="Arial"/>
          <w:sz w:val="22"/>
        </w:rPr>
        <w:tab/>
        <w:t>Compliance with all applicable design requirements</w:t>
      </w:r>
      <w:r w:rsidR="00557816">
        <w:rPr>
          <w:rFonts w:ascii="Arial" w:hAnsi="Arial"/>
          <w:sz w:val="22"/>
        </w:rPr>
        <w:t>;</w:t>
      </w:r>
      <w:r w:rsidR="005F6082">
        <w:rPr>
          <w:rFonts w:ascii="Arial" w:hAnsi="Arial"/>
          <w:sz w:val="22"/>
        </w:rPr>
        <w:t xml:space="preserve"> and</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sz w:val="22"/>
        </w:rPr>
      </w:pPr>
      <w:r>
        <w:rPr>
          <w:rFonts w:ascii="Arial" w:hAnsi="Arial"/>
          <w:sz w:val="22"/>
        </w:rPr>
        <w:t>(</w:t>
      </w:r>
      <w:r w:rsidR="005F6082">
        <w:rPr>
          <w:rFonts w:ascii="Arial" w:hAnsi="Arial"/>
          <w:sz w:val="22"/>
        </w:rPr>
        <w:t>c</w:t>
      </w:r>
      <w:r>
        <w:rPr>
          <w:rFonts w:ascii="Arial" w:hAnsi="Arial"/>
          <w:sz w:val="22"/>
        </w:rPr>
        <w:t>)</w:t>
      </w:r>
      <w:r w:rsidR="005F6082">
        <w:rPr>
          <w:rFonts w:ascii="Arial" w:hAnsi="Arial"/>
          <w:sz w:val="22"/>
        </w:rPr>
        <w:tab/>
        <w:t xml:space="preserve">Compliance with all requirements of selection; and additional or </w:t>
      </w:r>
      <w:r w:rsidR="00EE713F">
        <w:rPr>
          <w:rFonts w:ascii="Arial" w:hAnsi="Arial"/>
          <w:sz w:val="22"/>
        </w:rPr>
        <w:t>special conditions of Reservation, commitment or C</w:t>
      </w:r>
      <w:r w:rsidR="005F6082">
        <w:rPr>
          <w:rFonts w:ascii="Arial" w:hAnsi="Arial"/>
          <w:sz w:val="22"/>
        </w:rPr>
        <w:t>arryover</w:t>
      </w:r>
      <w:r w:rsidR="00EE713F">
        <w:rPr>
          <w:rFonts w:ascii="Arial" w:hAnsi="Arial"/>
          <w:sz w:val="22"/>
        </w:rPr>
        <w:t xml:space="preserve"> Allocation</w:t>
      </w:r>
      <w:r w:rsidR="005F6082">
        <w:rPr>
          <w:rFonts w:ascii="Arial" w:hAnsi="Arial"/>
          <w:sz w:val="22"/>
        </w:rPr>
        <w: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(11)</w:t>
      </w:r>
      <w:r w:rsidR="005F6082">
        <w:rPr>
          <w:rFonts w:ascii="Arial" w:hAnsi="Arial"/>
          <w:sz w:val="22"/>
        </w:rPr>
        <w:tab/>
        <w:t>A 15-year after-tax cash flow pro</w:t>
      </w:r>
      <w:r w:rsidR="002F3A22">
        <w:rPr>
          <w:rFonts w:ascii="Arial" w:hAnsi="Arial"/>
          <w:sz w:val="22"/>
        </w:rPr>
        <w:t xml:space="preserve"> </w:t>
      </w:r>
      <w:r w:rsidR="005F6082">
        <w:rPr>
          <w:rFonts w:ascii="Arial" w:hAnsi="Arial"/>
          <w:sz w:val="22"/>
        </w:rPr>
        <w:t xml:space="preserve">forma (for </w:t>
      </w:r>
      <w:r w:rsidR="00EE713F">
        <w:rPr>
          <w:rFonts w:ascii="Arial" w:hAnsi="Arial"/>
          <w:sz w:val="22"/>
        </w:rPr>
        <w:t xml:space="preserve">projects with </w:t>
      </w:r>
      <w:r w:rsidR="005F6082">
        <w:rPr>
          <w:rFonts w:ascii="Arial" w:hAnsi="Arial"/>
          <w:sz w:val="22"/>
        </w:rPr>
        <w:t>five or more units) signed by the lending institution signifying that they are a</w:t>
      </w:r>
      <w:r w:rsidR="002A7506">
        <w:rPr>
          <w:rFonts w:ascii="Arial" w:hAnsi="Arial"/>
          <w:sz w:val="22"/>
        </w:rPr>
        <w:t>ware of the figures presented in</w:t>
      </w:r>
      <w:r w:rsidR="005F6082">
        <w:rPr>
          <w:rFonts w:ascii="Arial" w:hAnsi="Arial"/>
          <w:sz w:val="22"/>
        </w:rPr>
        <w:t xml:space="preserve"> the </w:t>
      </w:r>
      <w:r w:rsidR="00600022">
        <w:rPr>
          <w:rFonts w:ascii="Arial" w:hAnsi="Arial" w:cs="Arial"/>
          <w:sz w:val="22"/>
          <w:szCs w:val="22"/>
        </w:rPr>
        <w:t>HTC</w:t>
      </w:r>
      <w:r w:rsidR="005F6082">
        <w:rPr>
          <w:rFonts w:ascii="Arial" w:hAnsi="Arial"/>
          <w:sz w:val="22"/>
        </w:rPr>
        <w:t xml:space="preserve"> application.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 xml:space="preserve">(12) </w:t>
      </w:r>
      <w:r w:rsidR="005F6082">
        <w:rPr>
          <w:rFonts w:ascii="Arial" w:hAnsi="Arial"/>
          <w:sz w:val="22"/>
        </w:rPr>
        <w:tab/>
        <w:t xml:space="preserve">Copies of </w:t>
      </w:r>
      <w:r w:rsidR="00600022">
        <w:rPr>
          <w:rFonts w:ascii="Arial" w:hAnsi="Arial"/>
          <w:sz w:val="22"/>
        </w:rPr>
        <w:t xml:space="preserve">all </w:t>
      </w:r>
      <w:r w:rsidR="005F6082">
        <w:rPr>
          <w:rFonts w:ascii="Arial" w:hAnsi="Arial"/>
          <w:sz w:val="22"/>
        </w:rPr>
        <w:t>f</w:t>
      </w:r>
      <w:r w:rsidR="00600022">
        <w:rPr>
          <w:rFonts w:ascii="Arial" w:hAnsi="Arial"/>
          <w:sz w:val="22"/>
        </w:rPr>
        <w:t>inal</w:t>
      </w:r>
      <w:r w:rsidR="002A7506">
        <w:rPr>
          <w:rFonts w:ascii="Arial" w:hAnsi="Arial"/>
          <w:sz w:val="22"/>
        </w:rPr>
        <w:t xml:space="preserve"> executed</w:t>
      </w:r>
      <w:r w:rsidR="00600022">
        <w:rPr>
          <w:rFonts w:ascii="Arial" w:hAnsi="Arial"/>
          <w:sz w:val="22"/>
        </w:rPr>
        <w:t xml:space="preserve"> loan or grant documents for </w:t>
      </w:r>
      <w:r w:rsidR="005F6082">
        <w:rPr>
          <w:rFonts w:ascii="Arial" w:hAnsi="Arial"/>
          <w:sz w:val="22"/>
        </w:rPr>
        <w:t xml:space="preserve">all sources of funds (mortgage or note) which </w:t>
      </w:r>
      <w:r w:rsidR="00F0432D">
        <w:rPr>
          <w:rFonts w:ascii="Arial" w:hAnsi="Arial"/>
          <w:sz w:val="22"/>
        </w:rPr>
        <w:t>support</w:t>
      </w:r>
      <w:r w:rsidR="005F6082">
        <w:rPr>
          <w:rFonts w:ascii="Arial" w:hAnsi="Arial"/>
          <w:sz w:val="22"/>
        </w:rPr>
        <w:t xml:space="preserve"> the amount, term</w:t>
      </w:r>
      <w:r w:rsidR="008D2853">
        <w:rPr>
          <w:rFonts w:ascii="Arial" w:hAnsi="Arial"/>
          <w:sz w:val="22"/>
        </w:rPr>
        <w:t xml:space="preserve">s, and conditions stated on Minnesota Housing </w:t>
      </w:r>
      <w:r w:rsidR="005F6082">
        <w:rPr>
          <w:rFonts w:ascii="Arial" w:hAnsi="Arial"/>
          <w:sz w:val="22"/>
        </w:rPr>
        <w:t>Form LIHC-1.</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(13)</w:t>
      </w:r>
      <w:r w:rsidR="005F6082">
        <w:rPr>
          <w:rFonts w:ascii="Arial" w:hAnsi="Arial"/>
          <w:sz w:val="22"/>
        </w:rPr>
        <w:tab/>
        <w:t xml:space="preserve">If ownership entity has changed, copy of </w:t>
      </w:r>
      <w:r w:rsidR="002A7506">
        <w:rPr>
          <w:rFonts w:ascii="Arial" w:hAnsi="Arial"/>
          <w:sz w:val="22"/>
        </w:rPr>
        <w:t xml:space="preserve">the </w:t>
      </w:r>
      <w:r w:rsidR="005F6082">
        <w:rPr>
          <w:rFonts w:ascii="Arial" w:hAnsi="Arial"/>
          <w:sz w:val="22"/>
        </w:rPr>
        <w:t>assignment and updated resumes of project team.</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(14)</w:t>
      </w:r>
      <w:r w:rsidR="005F6082">
        <w:rPr>
          <w:rFonts w:ascii="Arial" w:hAnsi="Arial"/>
          <w:sz w:val="22"/>
        </w:rPr>
        <w:tab/>
        <w:t xml:space="preserve">Original photographs of </w:t>
      </w:r>
      <w:r w:rsidR="00EE713F">
        <w:rPr>
          <w:rFonts w:ascii="Arial" w:hAnsi="Arial"/>
          <w:sz w:val="22"/>
        </w:rPr>
        <w:t>the c</w:t>
      </w:r>
      <w:r w:rsidR="005F6082">
        <w:rPr>
          <w:rFonts w:ascii="Arial" w:hAnsi="Arial"/>
          <w:sz w:val="22"/>
        </w:rPr>
        <w:t>ompleted building(s).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(15)</w:t>
      </w:r>
      <w:r w:rsidR="005F6082">
        <w:rPr>
          <w:rFonts w:ascii="Arial" w:hAnsi="Arial"/>
          <w:sz w:val="22"/>
        </w:rPr>
        <w:tab/>
      </w:r>
      <w:r w:rsidR="002A7506">
        <w:rPr>
          <w:rFonts w:ascii="Arial" w:hAnsi="Arial"/>
          <w:sz w:val="22"/>
        </w:rPr>
        <w:t>Payment of f</w:t>
      </w:r>
      <w:r w:rsidR="005F6082">
        <w:rPr>
          <w:rFonts w:ascii="Arial" w:hAnsi="Arial"/>
          <w:sz w:val="22"/>
        </w:rPr>
        <w:t>ees require</w:t>
      </w:r>
      <w:r w:rsidR="00600022">
        <w:rPr>
          <w:rFonts w:ascii="Arial" w:hAnsi="Arial"/>
          <w:sz w:val="22"/>
        </w:rPr>
        <w:t xml:space="preserve">d at the time of issuance of Form </w:t>
      </w:r>
      <w:r w:rsidR="005F6082">
        <w:rPr>
          <w:rFonts w:ascii="Arial" w:hAnsi="Arial"/>
          <w:sz w:val="22"/>
        </w:rPr>
        <w:t>8609</w:t>
      </w:r>
      <w:r w:rsidR="00EE713F">
        <w:rPr>
          <w:rFonts w:ascii="Arial" w:hAnsi="Arial"/>
          <w:sz w:val="22"/>
        </w:rPr>
        <w:t>(s)</w:t>
      </w:r>
      <w:r w:rsidR="005F6082">
        <w:rPr>
          <w:rFonts w:ascii="Arial" w:hAnsi="Arial"/>
          <w:sz w:val="22"/>
        </w:rPr>
        <w:t xml:space="preserve"> as provided in Section </w:t>
      </w:r>
      <w:r w:rsidR="00EE4EDB">
        <w:rPr>
          <w:rFonts w:ascii="Arial" w:hAnsi="Arial"/>
          <w:sz w:val="22"/>
        </w:rPr>
        <w:t xml:space="preserve">VIII </w:t>
      </w:r>
      <w:r w:rsidR="005F6082">
        <w:rPr>
          <w:rFonts w:ascii="Arial" w:hAnsi="Arial"/>
          <w:sz w:val="22"/>
        </w:rPr>
        <w:t>below.</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(16)</w:t>
      </w:r>
      <w:r w:rsidR="005F6082">
        <w:rPr>
          <w:rFonts w:ascii="Arial" w:hAnsi="Arial"/>
          <w:sz w:val="22"/>
        </w:rPr>
        <w:tab/>
        <w:t>Evidence that the project is current in the payment of compliance monitoring fees, if applicable.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C9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(17)</w:t>
      </w:r>
      <w:r w:rsidR="005F6082">
        <w:rPr>
          <w:rFonts w:ascii="Arial" w:hAnsi="Arial"/>
          <w:sz w:val="22"/>
        </w:rPr>
        <w:tab/>
        <w:t>Current rent-roll.</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9A1FBC" w:rsidRDefault="00C93522" w:rsidP="008D2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r>
        <w:rPr>
          <w:rFonts w:ascii="Arial" w:hAnsi="Arial"/>
          <w:sz w:val="22"/>
        </w:rPr>
        <w:t>(18)</w:t>
      </w:r>
      <w:r w:rsidR="005F6082">
        <w:rPr>
          <w:rFonts w:ascii="Arial" w:hAnsi="Arial"/>
          <w:sz w:val="22"/>
        </w:rPr>
        <w:tab/>
      </w:r>
      <w:r w:rsidR="009A1FBC">
        <w:rPr>
          <w:rFonts w:ascii="Arial" w:hAnsi="Arial"/>
          <w:sz w:val="22"/>
        </w:rPr>
        <w:t>Affirmative Fair Housing Marketing Plan (AFHMP) - Multifamily Housing (HUD-935.2A) (Exhibit Z)</w:t>
      </w:r>
      <w:r w:rsidR="00600022">
        <w:rPr>
          <w:rFonts w:ascii="Arial" w:hAnsi="Arial"/>
          <w:sz w:val="22"/>
        </w:rPr>
        <w:t>.</w:t>
      </w:r>
    </w:p>
    <w:p w:rsidR="009A1FBC" w:rsidRDefault="009A1FBC"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olor w:val="FF0000"/>
          <w:sz w:val="22"/>
        </w:rPr>
      </w:pPr>
    </w:p>
    <w:p w:rsidR="009A1FBC" w:rsidRDefault="00C93522"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r>
        <w:rPr>
          <w:rFonts w:ascii="Arial" w:hAnsi="Arial"/>
          <w:sz w:val="22"/>
        </w:rPr>
        <w:t>(19)</w:t>
      </w:r>
      <w:r w:rsidR="009A1FBC" w:rsidRPr="00E66E58">
        <w:rPr>
          <w:rFonts w:ascii="Arial" w:hAnsi="Arial"/>
          <w:sz w:val="22"/>
        </w:rPr>
        <w:t xml:space="preserve">       Equal Employment Opportunity Policy Statement</w:t>
      </w:r>
      <w:r w:rsidR="00DA482C" w:rsidRPr="00E66E58">
        <w:rPr>
          <w:rFonts w:ascii="Arial" w:hAnsi="Arial"/>
          <w:sz w:val="22"/>
        </w:rPr>
        <w:t xml:space="preserve"> (Exhibit AA)</w:t>
      </w:r>
      <w:r w:rsidR="00600022">
        <w:rPr>
          <w:rFonts w:ascii="Arial" w:hAnsi="Arial"/>
          <w:sz w:val="22"/>
        </w:rPr>
        <w:t>.</w:t>
      </w:r>
    </w:p>
    <w:p w:rsidR="00600022" w:rsidRDefault="00600022" w:rsidP="009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z w:val="22"/>
        </w:rPr>
      </w:pPr>
    </w:p>
    <w:p w:rsidR="00600022" w:rsidRDefault="00C93522" w:rsidP="006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snapToGrid/>
          <w:sz w:val="22"/>
        </w:rPr>
      </w:pPr>
      <w:r>
        <w:rPr>
          <w:rFonts w:ascii="Arial" w:hAnsi="Arial"/>
          <w:sz w:val="22"/>
        </w:rPr>
        <w:t>(20)</w:t>
      </w:r>
      <w:r w:rsidR="00600022">
        <w:rPr>
          <w:rFonts w:ascii="Arial" w:hAnsi="Arial"/>
          <w:sz w:val="22"/>
        </w:rPr>
        <w:tab/>
        <w:t>Such documents and instruments as are necessary and as may be required by CPED, HRA or the Board.</w:t>
      </w:r>
    </w:p>
    <w:p w:rsidR="005F6082" w:rsidRPr="00E03091" w:rsidRDefault="00E03091" w:rsidP="002C5BB9">
      <w:pPr>
        <w:pStyle w:val="Heading1"/>
        <w:rPr>
          <w:rFonts w:ascii="Arial" w:hAnsi="Arial"/>
          <w:sz w:val="22"/>
        </w:rPr>
      </w:pPr>
      <w:bookmarkStart w:id="58" w:name="_Toc511903036"/>
      <w:r>
        <w:rPr>
          <w:rFonts w:ascii="Arial" w:hAnsi="Arial"/>
          <w:sz w:val="22"/>
        </w:rPr>
        <w:t>VIII.</w:t>
      </w:r>
      <w:r>
        <w:rPr>
          <w:rFonts w:ascii="Arial" w:hAnsi="Arial"/>
          <w:sz w:val="22"/>
        </w:rPr>
        <w:tab/>
      </w:r>
      <w:r w:rsidR="005F6082" w:rsidRPr="00E03091">
        <w:rPr>
          <w:rFonts w:ascii="Arial" w:hAnsi="Arial"/>
          <w:sz w:val="22"/>
        </w:rPr>
        <w:t>FEES</w:t>
      </w:r>
      <w:r w:rsidR="005F6082" w:rsidRPr="00E03091">
        <w:rPr>
          <w:rFonts w:ascii="Arial" w:hAnsi="Arial"/>
          <w:sz w:val="22"/>
        </w:rPr>
        <w:fldChar w:fldCharType="begin"/>
      </w:r>
      <w:r w:rsidR="005F6082" w:rsidRPr="00E03091">
        <w:rPr>
          <w:rFonts w:ascii="Arial" w:hAnsi="Arial"/>
          <w:sz w:val="22"/>
        </w:rPr>
        <w:instrText>tc \l1 "VIII.</w:instrText>
      </w:r>
      <w:r w:rsidR="005F6082" w:rsidRPr="00E03091">
        <w:rPr>
          <w:rFonts w:ascii="Arial" w:hAnsi="Arial"/>
          <w:sz w:val="22"/>
        </w:rPr>
        <w:tab/>
      </w:r>
      <w:r w:rsidR="005F6082" w:rsidRPr="00E03091">
        <w:rPr>
          <w:rFonts w:ascii="Arial" w:hAnsi="Arial"/>
          <w:sz w:val="22"/>
        </w:rPr>
        <w:tab/>
        <w:instrText>FEES</w:instrText>
      </w:r>
      <w:r w:rsidR="005F6082" w:rsidRPr="00E03091">
        <w:rPr>
          <w:rFonts w:ascii="Arial" w:hAnsi="Arial"/>
          <w:sz w:val="22"/>
        </w:rPr>
        <w:fldChar w:fldCharType="end"/>
      </w:r>
      <w:bookmarkEnd w:id="58"/>
    </w:p>
    <w:p w:rsidR="005F6082" w:rsidRPr="00E03091" w:rsidRDefault="005F6082" w:rsidP="00C47C21">
      <w:pPr>
        <w:pStyle w:val="Heading2"/>
        <w:ind w:left="720"/>
        <w:rPr>
          <w:rFonts w:ascii="Arial" w:hAnsi="Arial"/>
          <w:i w:val="0"/>
          <w:sz w:val="22"/>
        </w:rPr>
      </w:pPr>
      <w:bookmarkStart w:id="59" w:name="_Toc511903037"/>
      <w:r w:rsidRPr="00E03091">
        <w:rPr>
          <w:rFonts w:ascii="Arial" w:hAnsi="Arial"/>
          <w:i w:val="0"/>
          <w:sz w:val="22"/>
        </w:rPr>
        <w:t>A.</w:t>
      </w:r>
      <w:r w:rsidRPr="00E03091">
        <w:rPr>
          <w:rFonts w:ascii="Arial" w:hAnsi="Arial"/>
          <w:i w:val="0"/>
          <w:sz w:val="22"/>
        </w:rPr>
        <w:tab/>
        <w:t>Application Fee</w:t>
      </w:r>
      <w:r w:rsidRPr="00E03091">
        <w:rPr>
          <w:rFonts w:ascii="Arial" w:hAnsi="Arial"/>
          <w:i w:val="0"/>
          <w:sz w:val="22"/>
        </w:rPr>
        <w:fldChar w:fldCharType="begin"/>
      </w:r>
      <w:r w:rsidRPr="00E03091">
        <w:rPr>
          <w:rFonts w:ascii="Arial" w:hAnsi="Arial"/>
          <w:i w:val="0"/>
          <w:sz w:val="22"/>
        </w:rPr>
        <w:instrText>tc \l2 "A.</w:instrText>
      </w:r>
      <w:r w:rsidRPr="00E03091">
        <w:rPr>
          <w:rFonts w:ascii="Arial" w:hAnsi="Arial"/>
          <w:i w:val="0"/>
          <w:sz w:val="22"/>
        </w:rPr>
        <w:tab/>
        <w:instrText>Application Fee and Charges</w:instrText>
      </w:r>
      <w:r w:rsidRPr="00E03091">
        <w:rPr>
          <w:rFonts w:ascii="Arial" w:hAnsi="Arial"/>
          <w:i w:val="0"/>
          <w:sz w:val="22"/>
        </w:rPr>
        <w:fldChar w:fldCharType="end"/>
      </w:r>
      <w:bookmarkEnd w:id="59"/>
    </w:p>
    <w:p w:rsidR="005F6082" w:rsidRDefault="005F608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55378C">
      <w:pPr>
        <w:pStyle w:val="BodyTextIndent"/>
        <w:tabs>
          <w:tab w:val="clear" w:pos="1440"/>
        </w:tabs>
      </w:pPr>
      <w:r>
        <w:t xml:space="preserve">A non-refundable </w:t>
      </w:r>
      <w:r w:rsidR="005F6082">
        <w:t xml:space="preserve">application fee </w:t>
      </w:r>
      <w:r>
        <w:t>equal to t</w:t>
      </w:r>
      <w:r w:rsidR="005F6082">
        <w:t>he greater of $700 or $30 times the total units</w:t>
      </w:r>
      <w:r w:rsidR="002A7506">
        <w:t xml:space="preserve"> in the project</w:t>
      </w:r>
      <w:r w:rsidR="005F6082">
        <w:t xml:space="preserve">, with a maximum of </w:t>
      </w:r>
      <w:r>
        <w:t>$2,000 for for-profit project</w:t>
      </w:r>
      <w:r w:rsidR="005F6082">
        <w:t xml:space="preserve"> entities.  Non-profits will be charged a</w:t>
      </w:r>
      <w:r>
        <w:t xml:space="preserve"> non-refundable application fee equal to </w:t>
      </w:r>
      <w:r w:rsidR="005F6082">
        <w:t xml:space="preserve">$700.  </w:t>
      </w:r>
      <w:r w:rsidR="008D2853">
        <w:t xml:space="preserve">The Application Fee must be payable to the City of Minneapolis for projects located in Minneapolis or to Saint Paul HRA for projects located in Saint Paul as set forth in Section VII.  </w:t>
      </w:r>
      <w:r w:rsidR="005F6082">
        <w:t xml:space="preserve">For multi-building projects, </w:t>
      </w:r>
      <w:r w:rsidR="00350A65">
        <w:t>CPED</w:t>
      </w:r>
      <w:r w:rsidR="005F6082">
        <w:t xml:space="preserve"> or HRA, on behalf of the Board, will require only one application and a single fee</w:t>
      </w:r>
      <w:r w:rsidR="0042138B">
        <w:t>.</w:t>
      </w:r>
    </w:p>
    <w:p w:rsidR="005F6082" w:rsidRPr="00E03091" w:rsidRDefault="005F6082" w:rsidP="0042138B">
      <w:pPr>
        <w:pStyle w:val="Heading2"/>
        <w:spacing w:before="120" w:after="0"/>
        <w:ind w:left="720"/>
        <w:rPr>
          <w:rFonts w:ascii="Arial" w:hAnsi="Arial"/>
          <w:i w:val="0"/>
          <w:sz w:val="22"/>
        </w:rPr>
      </w:pPr>
      <w:bookmarkStart w:id="60" w:name="_Toc511903038"/>
      <w:r w:rsidRPr="00E03091">
        <w:rPr>
          <w:rFonts w:ascii="Arial" w:hAnsi="Arial"/>
          <w:i w:val="0"/>
          <w:sz w:val="22"/>
        </w:rPr>
        <w:t>B.</w:t>
      </w:r>
      <w:r w:rsidR="0042138B">
        <w:rPr>
          <w:rFonts w:ascii="Arial" w:hAnsi="Arial"/>
          <w:i w:val="0"/>
          <w:sz w:val="22"/>
        </w:rPr>
        <w:tab/>
      </w:r>
      <w:r w:rsidRPr="00E03091">
        <w:rPr>
          <w:rFonts w:ascii="Arial" w:hAnsi="Arial"/>
          <w:i w:val="0"/>
          <w:sz w:val="22"/>
        </w:rPr>
        <w:t>Allocation Special Counsel Fee</w:t>
      </w:r>
      <w:bookmarkEnd w:id="60"/>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b/>
          <w:sz w:val="22"/>
        </w:rPr>
      </w:pPr>
    </w:p>
    <w:p w:rsidR="005F6082" w:rsidRPr="008D2853" w:rsidRDefault="00137B46">
      <w:pPr>
        <w:pStyle w:val="BodyTextIndent"/>
      </w:pPr>
      <w:r w:rsidRPr="008D2853">
        <w:t xml:space="preserve">A </w:t>
      </w:r>
      <w:r w:rsidR="00A60D11" w:rsidRPr="008D2853">
        <w:t xml:space="preserve">non-refundable </w:t>
      </w:r>
      <w:r w:rsidRPr="008D2853">
        <w:t>Special Counsel Fee</w:t>
      </w:r>
      <w:r w:rsidR="00A60D11" w:rsidRPr="008D2853">
        <w:t xml:space="preserve"> in in the amount </w:t>
      </w:r>
      <w:r w:rsidRPr="008D2853">
        <w:t>of $</w:t>
      </w:r>
      <w:r w:rsidR="001A0117" w:rsidRPr="008D2853">
        <w:t>3,</w:t>
      </w:r>
      <w:r w:rsidR="00043513" w:rsidRPr="008D2853">
        <w:t>5</w:t>
      </w:r>
      <w:r w:rsidR="001A0117" w:rsidRPr="008D2853">
        <w:t>00</w:t>
      </w:r>
      <w:r w:rsidR="00A60D11" w:rsidRPr="008D2853">
        <w:t xml:space="preserve"> </w:t>
      </w:r>
      <w:r w:rsidR="005F6082" w:rsidRPr="008D2853">
        <w:t xml:space="preserve">payable to </w:t>
      </w:r>
      <w:r w:rsidR="008D2853">
        <w:t>McDonough Law Firm (the “Special Counsel”) as set forth in Section VII</w:t>
      </w:r>
      <w:r w:rsidR="00AE4F31">
        <w:t>.</w:t>
      </w:r>
    </w:p>
    <w:p w:rsidR="005F6082" w:rsidRPr="00E03091" w:rsidRDefault="005F6082" w:rsidP="0042138B">
      <w:pPr>
        <w:pStyle w:val="Heading2"/>
        <w:spacing w:before="120" w:after="0"/>
        <w:ind w:left="720"/>
        <w:rPr>
          <w:rFonts w:ascii="Arial" w:hAnsi="Arial"/>
          <w:i w:val="0"/>
          <w:sz w:val="22"/>
        </w:rPr>
      </w:pPr>
      <w:bookmarkStart w:id="61" w:name="_Toc511903039"/>
      <w:r w:rsidRPr="00E03091">
        <w:rPr>
          <w:rFonts w:ascii="Arial" w:hAnsi="Arial"/>
          <w:i w:val="0"/>
          <w:sz w:val="22"/>
        </w:rPr>
        <w:t>C.</w:t>
      </w:r>
      <w:r w:rsidRPr="00E03091">
        <w:rPr>
          <w:rFonts w:ascii="Arial" w:hAnsi="Arial"/>
          <w:i w:val="0"/>
          <w:sz w:val="22"/>
        </w:rPr>
        <w:tab/>
      </w:r>
      <w:r w:rsidR="00AE4F31">
        <w:rPr>
          <w:rFonts w:ascii="Arial" w:hAnsi="Arial"/>
          <w:i w:val="0"/>
          <w:sz w:val="22"/>
        </w:rPr>
        <w:t>Allocation Fee</w:t>
      </w:r>
      <w:r w:rsidRPr="00E03091">
        <w:rPr>
          <w:rFonts w:ascii="Arial" w:hAnsi="Arial"/>
          <w:i w:val="0"/>
          <w:sz w:val="22"/>
        </w:rPr>
        <w:fldChar w:fldCharType="begin"/>
      </w:r>
      <w:r w:rsidRPr="00E03091">
        <w:rPr>
          <w:rFonts w:ascii="Arial" w:hAnsi="Arial"/>
          <w:i w:val="0"/>
          <w:sz w:val="22"/>
        </w:rPr>
        <w:instrText>tc \l2 "B.</w:instrText>
      </w:r>
      <w:r w:rsidRPr="00E03091">
        <w:rPr>
          <w:rFonts w:ascii="Arial" w:hAnsi="Arial"/>
          <w:i w:val="0"/>
          <w:sz w:val="22"/>
        </w:rPr>
        <w:tab/>
        <w:instrText>Reservation Deposit:</w:instrText>
      </w:r>
      <w:r w:rsidRPr="00E03091">
        <w:rPr>
          <w:rFonts w:ascii="Arial" w:hAnsi="Arial"/>
          <w:i w:val="0"/>
          <w:sz w:val="22"/>
        </w:rPr>
        <w:fldChar w:fldCharType="end"/>
      </w:r>
      <w:bookmarkEnd w:id="61"/>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F6082" w:rsidRDefault="00AE4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A</w:t>
      </w:r>
      <w:r w:rsidR="005F6082">
        <w:rPr>
          <w:rFonts w:ascii="Arial" w:hAnsi="Arial"/>
          <w:sz w:val="22"/>
        </w:rPr>
        <w:t xml:space="preserve"> </w:t>
      </w:r>
      <w:r w:rsidR="001A0117">
        <w:rPr>
          <w:rFonts w:ascii="Arial" w:hAnsi="Arial"/>
          <w:sz w:val="22"/>
        </w:rPr>
        <w:t>non</w:t>
      </w:r>
      <w:r w:rsidR="00FD13C7">
        <w:rPr>
          <w:rFonts w:ascii="Arial" w:hAnsi="Arial"/>
          <w:sz w:val="22"/>
        </w:rPr>
        <w:t>-</w:t>
      </w:r>
      <w:r w:rsidR="001A0117">
        <w:rPr>
          <w:rFonts w:ascii="Arial" w:hAnsi="Arial"/>
          <w:sz w:val="22"/>
        </w:rPr>
        <w:t xml:space="preserve">refundable </w:t>
      </w:r>
      <w:r>
        <w:rPr>
          <w:rFonts w:ascii="Arial" w:hAnsi="Arial"/>
          <w:sz w:val="22"/>
        </w:rPr>
        <w:t>allocation fee</w:t>
      </w:r>
      <w:r w:rsidR="002A7506">
        <w:rPr>
          <w:rFonts w:ascii="Arial" w:hAnsi="Arial"/>
          <w:sz w:val="22"/>
        </w:rPr>
        <w:t xml:space="preserve"> equal to </w:t>
      </w:r>
      <w:r w:rsidR="005F6082">
        <w:rPr>
          <w:rFonts w:ascii="Arial" w:hAnsi="Arial"/>
          <w:sz w:val="22"/>
        </w:rPr>
        <w:t xml:space="preserve">1.5% of the </w:t>
      </w:r>
      <w:r w:rsidR="00600022">
        <w:rPr>
          <w:rFonts w:ascii="Arial" w:hAnsi="Arial" w:cs="Arial"/>
          <w:sz w:val="22"/>
          <w:szCs w:val="22"/>
        </w:rPr>
        <w:t xml:space="preserve">HTC </w:t>
      </w:r>
      <w:r>
        <w:rPr>
          <w:rFonts w:ascii="Arial" w:hAnsi="Arial" w:cs="Arial"/>
          <w:sz w:val="22"/>
          <w:szCs w:val="22"/>
        </w:rPr>
        <w:t>allocation</w:t>
      </w:r>
      <w:r w:rsidR="0055378C">
        <w:rPr>
          <w:rFonts w:ascii="Arial" w:hAnsi="Arial"/>
          <w:sz w:val="22"/>
        </w:rPr>
        <w:t xml:space="preserve"> </w:t>
      </w:r>
      <w:r w:rsidR="005F6082">
        <w:rPr>
          <w:rFonts w:ascii="Arial" w:hAnsi="Arial"/>
          <w:sz w:val="22"/>
        </w:rPr>
        <w:t xml:space="preserve">amount must be paid to </w:t>
      </w:r>
      <w:r>
        <w:rPr>
          <w:rFonts w:ascii="Arial" w:hAnsi="Arial"/>
          <w:sz w:val="22"/>
        </w:rPr>
        <w:t xml:space="preserve">the City of Minneapolis </w:t>
      </w:r>
      <w:r w:rsidR="005F6082">
        <w:rPr>
          <w:rFonts w:ascii="Arial" w:hAnsi="Arial"/>
          <w:sz w:val="22"/>
        </w:rPr>
        <w:t>for projects</w:t>
      </w:r>
      <w:r>
        <w:rPr>
          <w:rFonts w:ascii="Arial" w:hAnsi="Arial"/>
          <w:sz w:val="22"/>
        </w:rPr>
        <w:t xml:space="preserve"> located in Minneapolis or Saint Paul HRA </w:t>
      </w:r>
      <w:r w:rsidR="005F6082">
        <w:rPr>
          <w:rFonts w:ascii="Arial" w:hAnsi="Arial"/>
          <w:sz w:val="22"/>
        </w:rPr>
        <w:t xml:space="preserve">for projects </w:t>
      </w:r>
      <w:r>
        <w:rPr>
          <w:rFonts w:ascii="Arial" w:hAnsi="Arial"/>
          <w:sz w:val="22"/>
        </w:rPr>
        <w:t xml:space="preserve">located </w:t>
      </w:r>
      <w:r w:rsidR="005F6082">
        <w:rPr>
          <w:rFonts w:ascii="Arial" w:hAnsi="Arial"/>
          <w:sz w:val="22"/>
        </w:rPr>
        <w:t xml:space="preserve">in Saint Paul </w:t>
      </w:r>
      <w:r>
        <w:rPr>
          <w:rFonts w:ascii="Arial" w:hAnsi="Arial"/>
          <w:sz w:val="22"/>
        </w:rPr>
        <w:t>as set forth in Section VII</w:t>
      </w:r>
      <w:r w:rsidR="005F6082">
        <w:rPr>
          <w:rFonts w:ascii="Arial" w:hAnsi="Arial"/>
          <w:sz w:val="22"/>
        </w:rPr>
        <w:t>.</w:t>
      </w:r>
    </w:p>
    <w:p w:rsidR="00AE4F31" w:rsidRPr="00E03091" w:rsidRDefault="005F6082" w:rsidP="0042138B">
      <w:pPr>
        <w:pStyle w:val="Heading2"/>
        <w:spacing w:before="0" w:after="0"/>
        <w:ind w:left="720"/>
        <w:rPr>
          <w:rFonts w:ascii="Arial" w:hAnsi="Arial"/>
          <w:i w:val="0"/>
          <w:sz w:val="22"/>
        </w:rPr>
      </w:pPr>
      <w:bookmarkStart w:id="62" w:name="_Toc511903040"/>
      <w:r w:rsidRPr="00E03091">
        <w:rPr>
          <w:rFonts w:ascii="Arial" w:hAnsi="Arial"/>
          <w:i w:val="0"/>
          <w:sz w:val="22"/>
        </w:rPr>
        <w:lastRenderedPageBreak/>
        <w:t>D.</w:t>
      </w:r>
      <w:r w:rsidRPr="00E03091">
        <w:rPr>
          <w:rFonts w:ascii="Arial" w:hAnsi="Arial"/>
          <w:i w:val="0"/>
          <w:sz w:val="22"/>
        </w:rPr>
        <w:tab/>
      </w:r>
      <w:r w:rsidR="00AE4F31" w:rsidRPr="00E03091">
        <w:rPr>
          <w:rFonts w:ascii="Arial" w:hAnsi="Arial"/>
          <w:i w:val="0"/>
          <w:sz w:val="22"/>
        </w:rPr>
        <w:t>Monitoring Fee</w:t>
      </w:r>
      <w:r w:rsidR="00AE4F31" w:rsidRPr="00E03091">
        <w:rPr>
          <w:rFonts w:ascii="Arial" w:hAnsi="Arial"/>
          <w:i w:val="0"/>
          <w:sz w:val="22"/>
        </w:rPr>
        <w:fldChar w:fldCharType="begin"/>
      </w:r>
      <w:r w:rsidR="00AE4F31" w:rsidRPr="00E03091">
        <w:rPr>
          <w:rFonts w:ascii="Arial" w:hAnsi="Arial"/>
          <w:i w:val="0"/>
          <w:sz w:val="22"/>
        </w:rPr>
        <w:instrText>tc \l2 "E.</w:instrText>
      </w:r>
      <w:r w:rsidR="00AE4F31" w:rsidRPr="00E03091">
        <w:rPr>
          <w:rFonts w:ascii="Arial" w:hAnsi="Arial"/>
          <w:i w:val="0"/>
          <w:sz w:val="22"/>
        </w:rPr>
        <w:tab/>
        <w:instrText>Monitoring Fee</w:instrText>
      </w:r>
      <w:r w:rsidR="00AE4F31" w:rsidRPr="00E03091">
        <w:rPr>
          <w:rFonts w:ascii="Arial" w:hAnsi="Arial"/>
          <w:i w:val="0"/>
          <w:sz w:val="22"/>
        </w:rPr>
        <w:fldChar w:fldCharType="end"/>
      </w:r>
      <w:bookmarkEnd w:id="62"/>
    </w:p>
    <w:p w:rsidR="00AE4F31" w:rsidRDefault="00AE4F31" w:rsidP="004213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5B6DC6" w:rsidRDefault="005B6DC6" w:rsidP="005B6DC6">
      <w:pPr>
        <w:pStyle w:val="BodyTextIndent"/>
        <w:keepLines/>
      </w:pPr>
      <w:r>
        <w:t>The Board or its Authorized Delegate will charge annual monitoring fees to cover the costs of conducting compliance monitoring.  The annual fee(s) must be submitted by the due date shown on the billing invoice.</w:t>
      </w:r>
    </w:p>
    <w:p w:rsidR="005B6DC6" w:rsidRDefault="005B6DC6" w:rsidP="005B6DC6">
      <w:pPr>
        <w:pStyle w:val="BodyTextIndent"/>
        <w:keepLines/>
      </w:pPr>
    </w:p>
    <w:p w:rsidR="005B6DC6" w:rsidRDefault="005B6DC6" w:rsidP="005B6DC6">
      <w:pPr>
        <w:pStyle w:val="BodyTextIndent"/>
        <w:keepLines/>
      </w:pPr>
      <w:r>
        <w:t>Fees are charged on all units within each project.  The following fees will apply to projects monitored for Program Years 2016, 2017, and 2018 (monitoring completed in Calendar Years 2017, 2018, and</w:t>
      </w:r>
      <w:r w:rsidR="003D7447">
        <w:t xml:space="preserve"> 2019).  Thereafter, the Board</w:t>
      </w:r>
      <w:r>
        <w:t xml:space="preserve"> reserves the right to adjust fees due to changing circumstances.</w:t>
      </w:r>
    </w:p>
    <w:p w:rsidR="005B6DC6" w:rsidRDefault="005B6DC6" w:rsidP="005B6DC6">
      <w:pPr>
        <w:pStyle w:val="BodyTextIndent"/>
        <w:keepLines/>
      </w:pPr>
    </w:p>
    <w:p w:rsidR="005B6DC6" w:rsidRDefault="005B6DC6" w:rsidP="005B6DC6">
      <w:pPr>
        <w:pStyle w:val="BodyTextIndent"/>
        <w:keepLines/>
      </w:pPr>
      <w:r>
        <w:t xml:space="preserve">•  </w:t>
      </w:r>
      <w:r>
        <w:tab/>
        <w:t>The fee for annual project compliance monitoring (“desk audit”) is $60.00/unit (based on t</w:t>
      </w:r>
      <w:r w:rsidR="003D7447">
        <w:t>he total number of residential m</w:t>
      </w:r>
      <w:r>
        <w:t xml:space="preserve">arket and HTC units in the project.  The minimum fee is $600.  </w:t>
      </w:r>
    </w:p>
    <w:p w:rsidR="005B6DC6" w:rsidRDefault="005B6DC6" w:rsidP="005B6DC6">
      <w:pPr>
        <w:pStyle w:val="BodyTextIndent"/>
        <w:keepLines/>
      </w:pPr>
    </w:p>
    <w:p w:rsidR="005B6DC6" w:rsidRDefault="005B6DC6" w:rsidP="005B6DC6">
      <w:pPr>
        <w:pStyle w:val="BodyTextIndent"/>
        <w:keepLines/>
      </w:pPr>
      <w:r>
        <w:t xml:space="preserve">•  </w:t>
      </w:r>
      <w:r>
        <w:tab/>
        <w:t>During the Extended Use Period (year 16 and beyond), the annual compliance monitoring fee is $35.00/unit, based on the total number of units in the project.  The minimum fee is $350.</w:t>
      </w:r>
    </w:p>
    <w:p w:rsidR="005B6DC6" w:rsidRDefault="005B6DC6" w:rsidP="005B6DC6">
      <w:pPr>
        <w:pStyle w:val="BodyTextIndent"/>
        <w:keepLines/>
      </w:pPr>
    </w:p>
    <w:p w:rsidR="005B6DC6" w:rsidRDefault="005B6DC6" w:rsidP="005B6DC6">
      <w:pPr>
        <w:pStyle w:val="BodyTextIndent"/>
        <w:keepLines/>
      </w:pPr>
      <w:r>
        <w:t xml:space="preserve">•  </w:t>
      </w:r>
      <w:r>
        <w:tab/>
        <w:t>The unit inspection fee ($60) is charged for all units inspected and/or tenant files reviewed for a first year project, subject to the minimum fee of $900. See also Section C, related to monitoring fees for new tenant file reviews.</w:t>
      </w:r>
    </w:p>
    <w:p w:rsidR="005B6DC6" w:rsidRDefault="005B6DC6" w:rsidP="005B6DC6">
      <w:pPr>
        <w:pStyle w:val="BodyTextIndent"/>
        <w:keepLines/>
      </w:pPr>
    </w:p>
    <w:p w:rsidR="00AE4F31" w:rsidRDefault="005B6DC6" w:rsidP="005B6DC6">
      <w:pPr>
        <w:pStyle w:val="BodyTextIndent"/>
        <w:keepLines/>
      </w:pPr>
      <w:r>
        <w:t xml:space="preserve">These fees are for an initial Compliance Review and a review of any required response from </w:t>
      </w:r>
      <w:r w:rsidR="003A3203">
        <w:t>o</w:t>
      </w:r>
      <w:r>
        <w:t xml:space="preserve">wner.  Incomplete responses resulting in subsequent follow-up reviews may result in a penalty.  The penalty for subsequent follow-up reviews for a desk audit is $30.00/unit (based on the total number of residential </w:t>
      </w:r>
      <w:r w:rsidR="003A3203">
        <w:t>m</w:t>
      </w:r>
      <w:r>
        <w:t>arket and HTC units in the project.  The minimum penalty is $300.  The penalty for a complete new file review to determine corrected noncompliance or file clarification is considered a new unit file review subject to a new fee of $60.00 for each tenant file requiring review.</w:t>
      </w:r>
    </w:p>
    <w:p w:rsidR="00AE4F31" w:rsidRPr="00E03091" w:rsidRDefault="005F6082" w:rsidP="0042138B">
      <w:pPr>
        <w:pStyle w:val="Heading2"/>
        <w:spacing w:before="120" w:after="0"/>
        <w:ind w:left="720"/>
        <w:rPr>
          <w:rFonts w:ascii="Arial" w:hAnsi="Arial"/>
          <w:i w:val="0"/>
          <w:sz w:val="22"/>
        </w:rPr>
      </w:pPr>
      <w:bookmarkStart w:id="63" w:name="_Toc511903041"/>
      <w:r w:rsidRPr="00E03091">
        <w:rPr>
          <w:rFonts w:ascii="Arial" w:hAnsi="Arial"/>
          <w:i w:val="0"/>
          <w:sz w:val="22"/>
        </w:rPr>
        <w:t>E.</w:t>
      </w:r>
      <w:r w:rsidRPr="00E03091">
        <w:rPr>
          <w:rFonts w:ascii="Arial" w:hAnsi="Arial"/>
          <w:i w:val="0"/>
          <w:sz w:val="22"/>
        </w:rPr>
        <w:tab/>
      </w:r>
      <w:r w:rsidR="00AE4F31" w:rsidRPr="00E03091">
        <w:rPr>
          <w:rFonts w:ascii="Arial" w:hAnsi="Arial"/>
          <w:i w:val="0"/>
          <w:sz w:val="22"/>
        </w:rPr>
        <w:t>Transfer of Ownership Fee</w:t>
      </w:r>
      <w:r w:rsidR="00AE4F31" w:rsidRPr="00E03091">
        <w:rPr>
          <w:rFonts w:ascii="Arial" w:hAnsi="Arial"/>
          <w:i w:val="0"/>
          <w:sz w:val="22"/>
        </w:rPr>
        <w:fldChar w:fldCharType="begin"/>
      </w:r>
      <w:r w:rsidR="00AE4F31" w:rsidRPr="00E03091">
        <w:rPr>
          <w:rFonts w:ascii="Arial" w:hAnsi="Arial"/>
          <w:i w:val="0"/>
          <w:sz w:val="22"/>
        </w:rPr>
        <w:instrText>tc \l2 "F.</w:instrText>
      </w:r>
      <w:r w:rsidR="00AE4F31" w:rsidRPr="00E03091">
        <w:rPr>
          <w:rFonts w:ascii="Arial" w:hAnsi="Arial"/>
          <w:i w:val="0"/>
          <w:sz w:val="22"/>
        </w:rPr>
        <w:tab/>
        <w:instrText>Transfer of Ownership Fee</w:instrText>
      </w:r>
      <w:r w:rsidR="00AE4F31" w:rsidRPr="00E03091">
        <w:rPr>
          <w:rFonts w:ascii="Arial" w:hAnsi="Arial"/>
          <w:i w:val="0"/>
          <w:sz w:val="22"/>
        </w:rPr>
        <w:fldChar w:fldCharType="end"/>
      </w:r>
      <w:bookmarkEnd w:id="63"/>
    </w:p>
    <w:p w:rsidR="006E0469" w:rsidRDefault="006E0469" w:rsidP="00AE4F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p>
    <w:p w:rsidR="00AE4F31" w:rsidRDefault="00AE4F31" w:rsidP="00AE4F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Upon review and approval of a Transfer by CPED or HRA, a non-refundable Transfer fee of $2,500 must be submitted to CPED or HRA, along with updated materials of the current owner/management team.</w:t>
      </w:r>
    </w:p>
    <w:p w:rsidR="005F6082" w:rsidRPr="006E0469" w:rsidRDefault="005F6082" w:rsidP="006E0469">
      <w:pPr>
        <w:pStyle w:val="Heading2"/>
        <w:spacing w:after="0"/>
        <w:ind w:left="720"/>
        <w:rPr>
          <w:rFonts w:ascii="Arial" w:hAnsi="Arial"/>
          <w:i w:val="0"/>
          <w:sz w:val="22"/>
        </w:rPr>
      </w:pPr>
      <w:bookmarkStart w:id="64" w:name="_Toc511903042"/>
      <w:r w:rsidRPr="00E03091">
        <w:rPr>
          <w:rFonts w:ascii="Arial" w:hAnsi="Arial"/>
          <w:i w:val="0"/>
          <w:sz w:val="22"/>
        </w:rPr>
        <w:t>F.</w:t>
      </w:r>
      <w:r w:rsidRPr="00E03091">
        <w:rPr>
          <w:rFonts w:ascii="Arial" w:hAnsi="Arial"/>
          <w:i w:val="0"/>
          <w:sz w:val="22"/>
        </w:rPr>
        <w:tab/>
        <w:t>Late Fee</w:t>
      </w:r>
      <w:r w:rsidRPr="00E03091">
        <w:rPr>
          <w:rFonts w:ascii="Arial" w:hAnsi="Arial"/>
          <w:i w:val="0"/>
          <w:sz w:val="22"/>
        </w:rPr>
        <w:fldChar w:fldCharType="begin"/>
      </w:r>
      <w:r w:rsidRPr="00E03091">
        <w:rPr>
          <w:rFonts w:ascii="Arial" w:hAnsi="Arial"/>
          <w:i w:val="0"/>
          <w:sz w:val="22"/>
        </w:rPr>
        <w:instrText>tc \l2 "H.</w:instrText>
      </w:r>
      <w:r w:rsidRPr="00E03091">
        <w:rPr>
          <w:rFonts w:ascii="Arial" w:hAnsi="Arial"/>
          <w:i w:val="0"/>
          <w:sz w:val="22"/>
        </w:rPr>
        <w:tab/>
        <w:instrText xml:space="preserve"> Late Fee</w:instrText>
      </w:r>
      <w:r w:rsidRPr="00E03091">
        <w:rPr>
          <w:rFonts w:ascii="Arial" w:hAnsi="Arial"/>
          <w:i w:val="0"/>
          <w:sz w:val="22"/>
        </w:rPr>
        <w:fldChar w:fldCharType="end"/>
      </w:r>
      <w:bookmarkEnd w:id="64"/>
    </w:p>
    <w:p w:rsidR="006E0469" w:rsidRDefault="006E0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5F6082" w:rsidRDefault="005F6082" w:rsidP="006E0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sz w:val="22"/>
        </w:rPr>
      </w:pPr>
      <w:r>
        <w:rPr>
          <w:rFonts w:ascii="Arial" w:hAnsi="Arial"/>
          <w:sz w:val="22"/>
        </w:rPr>
        <w:t>The developer shall be responsible for meeting t</w:t>
      </w:r>
      <w:r w:rsidR="00600022">
        <w:rPr>
          <w:rFonts w:ascii="Arial" w:hAnsi="Arial"/>
          <w:sz w:val="22"/>
        </w:rPr>
        <w:t xml:space="preserve">he </w:t>
      </w:r>
      <w:r w:rsidR="004674D1">
        <w:rPr>
          <w:rFonts w:ascii="Arial" w:hAnsi="Arial"/>
          <w:sz w:val="22"/>
        </w:rPr>
        <w:t>application submittal deadlines set forth in this Procedural Manu</w:t>
      </w:r>
      <w:r w:rsidR="006E0469">
        <w:rPr>
          <w:rFonts w:ascii="Arial" w:hAnsi="Arial"/>
          <w:sz w:val="22"/>
        </w:rPr>
        <w:t>a</w:t>
      </w:r>
      <w:r w:rsidR="004674D1">
        <w:rPr>
          <w:rFonts w:ascii="Arial" w:hAnsi="Arial"/>
          <w:sz w:val="22"/>
        </w:rPr>
        <w:t>l.  A late fee of $1,000 payable to the City of Minneapolis or Saint P</w:t>
      </w:r>
      <w:r w:rsidR="006E0469">
        <w:rPr>
          <w:rFonts w:ascii="Arial" w:hAnsi="Arial"/>
          <w:sz w:val="22"/>
        </w:rPr>
        <w:t>a</w:t>
      </w:r>
      <w:r w:rsidR="004674D1">
        <w:rPr>
          <w:rFonts w:ascii="Arial" w:hAnsi="Arial"/>
          <w:sz w:val="22"/>
        </w:rPr>
        <w:t>ul HRA, respectively may apply</w:t>
      </w:r>
      <w:r>
        <w:rPr>
          <w:rFonts w:ascii="Arial" w:hAnsi="Arial"/>
          <w:sz w:val="22"/>
        </w:rPr>
        <w:t>.  Late fees will not be considered an eligible project expense.</w:t>
      </w:r>
    </w:p>
    <w:p w:rsidR="00934951" w:rsidRPr="00EB2672" w:rsidRDefault="004674D1" w:rsidP="00C47C21">
      <w:pPr>
        <w:pStyle w:val="Heading2"/>
        <w:ind w:left="720"/>
        <w:rPr>
          <w:rFonts w:ascii="Arial" w:hAnsi="Arial"/>
          <w:i w:val="0"/>
          <w:sz w:val="22"/>
        </w:rPr>
      </w:pPr>
      <w:bookmarkStart w:id="65" w:name="_Toc511903043"/>
      <w:r>
        <w:rPr>
          <w:rFonts w:ascii="Arial" w:hAnsi="Arial"/>
          <w:i w:val="0"/>
          <w:sz w:val="22"/>
        </w:rPr>
        <w:t>G</w:t>
      </w:r>
      <w:r w:rsidR="00934951" w:rsidRPr="00EB2672">
        <w:rPr>
          <w:rFonts w:ascii="Arial" w:hAnsi="Arial"/>
          <w:i w:val="0"/>
          <w:sz w:val="22"/>
        </w:rPr>
        <w:t>.</w:t>
      </w:r>
      <w:r w:rsidR="006E0469">
        <w:rPr>
          <w:rFonts w:ascii="Arial" w:hAnsi="Arial"/>
          <w:i w:val="0"/>
          <w:sz w:val="22"/>
        </w:rPr>
        <w:tab/>
      </w:r>
      <w:r w:rsidR="00934951" w:rsidRPr="00EB2672">
        <w:rPr>
          <w:rFonts w:ascii="Arial" w:hAnsi="Arial"/>
          <w:i w:val="0"/>
          <w:sz w:val="22"/>
        </w:rPr>
        <w:t>Qualified Contract Fee</w:t>
      </w:r>
      <w:bookmarkEnd w:id="65"/>
    </w:p>
    <w:p w:rsidR="00934951" w:rsidRDefault="00934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934951" w:rsidRPr="000D71D8" w:rsidRDefault="00934951" w:rsidP="000D7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934951">
        <w:rPr>
          <w:rFonts w:ascii="Arial" w:hAnsi="Arial"/>
          <w:sz w:val="22"/>
        </w:rPr>
        <w:t>For its respective projects, CPED or HRA will require that owners pay a</w:t>
      </w:r>
      <w:r w:rsidR="00600022">
        <w:rPr>
          <w:rFonts w:ascii="Arial" w:hAnsi="Arial"/>
          <w:sz w:val="22"/>
        </w:rPr>
        <w:t xml:space="preserve"> </w:t>
      </w:r>
      <w:r w:rsidRPr="00934951">
        <w:rPr>
          <w:rFonts w:ascii="Arial" w:hAnsi="Arial"/>
          <w:sz w:val="22"/>
        </w:rPr>
        <w:t>non-refundable fee of $5,000 for processing a reques</w:t>
      </w:r>
      <w:r w:rsidR="000D6D92">
        <w:rPr>
          <w:rFonts w:ascii="Arial" w:hAnsi="Arial"/>
          <w:sz w:val="22"/>
        </w:rPr>
        <w:t>t for a Qualified C</w:t>
      </w:r>
      <w:r w:rsidRPr="00934951">
        <w:rPr>
          <w:rFonts w:ascii="Arial" w:hAnsi="Arial"/>
          <w:sz w:val="22"/>
        </w:rPr>
        <w:t>ontract.</w:t>
      </w:r>
    </w:p>
    <w:p w:rsidR="00934951" w:rsidRPr="00934951" w:rsidRDefault="00934951" w:rsidP="0066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p>
    <w:p w:rsidR="005F6082" w:rsidRDefault="00F76DDE">
      <w:pPr>
        <w:tabs>
          <w:tab w:val="center" w:pos="4680"/>
          <w:tab w:val="left" w:pos="5040"/>
          <w:tab w:val="left" w:pos="5760"/>
          <w:tab w:val="left" w:pos="6480"/>
          <w:tab w:val="left" w:pos="7200"/>
          <w:tab w:val="left" w:pos="7920"/>
          <w:tab w:val="left" w:pos="8640"/>
          <w:tab w:val="left" w:pos="9360"/>
        </w:tabs>
        <w:jc w:val="both"/>
        <w:rPr>
          <w:rFonts w:ascii="Arial" w:hAnsi="Arial"/>
          <w:b/>
          <w:sz w:val="20"/>
        </w:rPr>
      </w:pPr>
      <w:r>
        <w:rPr>
          <w:rFonts w:ascii="Arial" w:hAnsi="Arial"/>
          <w:sz w:val="22"/>
        </w:rPr>
        <w:br w:type="page"/>
      </w:r>
      <w:r w:rsidR="005F6082">
        <w:rPr>
          <w:rFonts w:ascii="Arial" w:hAnsi="Arial"/>
          <w:sz w:val="22"/>
        </w:rPr>
        <w:lastRenderedPageBreak/>
        <w:tab/>
      </w:r>
      <w:r w:rsidR="005F6082">
        <w:rPr>
          <w:rFonts w:ascii="Arial" w:hAnsi="Arial"/>
          <w:b/>
          <w:sz w:val="20"/>
        </w:rPr>
        <w:t>MINNEAPOLIS/SAINT PAUL HOUSING FINANCE BOARD</w:t>
      </w:r>
    </w:p>
    <w:p w:rsidR="005F6082" w:rsidRDefault="005F6082">
      <w:pPr>
        <w:tabs>
          <w:tab w:val="center" w:pos="468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b/>
          <w:sz w:val="20"/>
        </w:rPr>
        <w:tab/>
        <w:t>LOW INCOME HOUSING TAX CREDIT PROGRAM</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center" w:pos="468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ab/>
      </w:r>
      <w:r>
        <w:rPr>
          <w:rFonts w:ascii="Arial" w:hAnsi="Arial"/>
          <w:b/>
          <w:sz w:val="20"/>
          <w:u w:val="single"/>
        </w:rPr>
        <w:t>EXHIBITS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1A304D">
        <w:rPr>
          <w:rFonts w:ascii="Arial" w:hAnsi="Arial"/>
          <w:sz w:val="20"/>
        </w:rPr>
        <w:t>Exhibit A</w:t>
      </w:r>
      <w:r>
        <w:rPr>
          <w:rFonts w:ascii="Arial" w:hAnsi="Arial"/>
          <w:sz w:val="20"/>
        </w:rPr>
        <w:tab/>
      </w:r>
      <w:r w:rsidR="000D6D92">
        <w:rPr>
          <w:rFonts w:ascii="Arial" w:hAnsi="Arial"/>
          <w:sz w:val="20"/>
        </w:rPr>
        <w:t xml:space="preserve">Qualified </w:t>
      </w:r>
      <w:r>
        <w:rPr>
          <w:rFonts w:ascii="Arial" w:hAnsi="Arial"/>
          <w:sz w:val="20"/>
        </w:rPr>
        <w:t>Allocation Plan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1A304D">
        <w:rPr>
          <w:rFonts w:ascii="Arial" w:hAnsi="Arial"/>
          <w:sz w:val="20"/>
        </w:rPr>
        <w:t>Exhibit B</w:t>
      </w:r>
      <w:r>
        <w:rPr>
          <w:rFonts w:ascii="Arial" w:hAnsi="Arial"/>
          <w:sz w:val="20"/>
        </w:rPr>
        <w:tab/>
        <w:t>Opinion of Counsel - Application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1A304D">
        <w:rPr>
          <w:rFonts w:ascii="Arial" w:hAnsi="Arial"/>
          <w:sz w:val="20"/>
        </w:rPr>
        <w:t>Exhibit C</w:t>
      </w:r>
      <w:r>
        <w:rPr>
          <w:rFonts w:ascii="Arial" w:hAnsi="Arial"/>
          <w:sz w:val="20"/>
        </w:rPr>
        <w:tab/>
        <w:t>Qualified Census Tracts/</w:t>
      </w:r>
      <w:r w:rsidR="006B4B22">
        <w:rPr>
          <w:rFonts w:ascii="Arial" w:hAnsi="Arial"/>
          <w:sz w:val="20"/>
        </w:rPr>
        <w:t xml:space="preserve">Saint Paul </w:t>
      </w:r>
      <w:r>
        <w:rPr>
          <w:rFonts w:ascii="Arial" w:hAnsi="Arial"/>
          <w:sz w:val="20"/>
        </w:rPr>
        <w:t>Impacted Areas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1A304D">
        <w:rPr>
          <w:rFonts w:ascii="Arial" w:hAnsi="Arial"/>
          <w:sz w:val="20"/>
        </w:rPr>
        <w:t>Exhibit D</w:t>
      </w:r>
      <w:r>
        <w:rPr>
          <w:rFonts w:ascii="Arial" w:hAnsi="Arial"/>
          <w:sz w:val="20"/>
        </w:rPr>
        <w:tab/>
        <w:t>Form of Opinion of Counsel Regarding Carryover</w:t>
      </w:r>
      <w:r w:rsidR="000D6D92">
        <w:rPr>
          <w:rFonts w:ascii="Arial" w:hAnsi="Arial"/>
          <w:sz w:val="20"/>
        </w:rPr>
        <w:t xml:space="preserve"> Allocation</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1A304D">
        <w:rPr>
          <w:rFonts w:ascii="Arial" w:hAnsi="Arial"/>
          <w:sz w:val="20"/>
        </w:rPr>
        <w:t>Exhibit E</w:t>
      </w:r>
      <w:r>
        <w:rPr>
          <w:rFonts w:ascii="Arial" w:hAnsi="Arial"/>
          <w:sz w:val="20"/>
        </w:rPr>
        <w:tab/>
        <w:t>Self Scoring Worksheet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F</w:t>
      </w:r>
      <w:r>
        <w:rPr>
          <w:rFonts w:ascii="Arial" w:hAnsi="Arial"/>
          <w:sz w:val="20"/>
        </w:rPr>
        <w:tab/>
        <w:t>IRS Notice 88-80 Determination of Income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G</w:t>
      </w:r>
      <w:r>
        <w:rPr>
          <w:rFonts w:ascii="Arial" w:hAnsi="Arial"/>
          <w:sz w:val="20"/>
        </w:rPr>
        <w:tab/>
        <w:t>IRS Regulations § 1.42-6 Carryover and 1.42-10 Utility Allowance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H</w:t>
      </w:r>
      <w:r>
        <w:rPr>
          <w:rFonts w:ascii="Arial" w:hAnsi="Arial"/>
          <w:sz w:val="20"/>
        </w:rPr>
        <w:tab/>
        <w:t>Section 42 Internal Revenue Code</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I</w:t>
      </w:r>
      <w:r>
        <w:rPr>
          <w:rFonts w:ascii="Arial" w:hAnsi="Arial"/>
          <w:sz w:val="20"/>
        </w:rPr>
        <w:tab/>
      </w:r>
      <w:r>
        <w:rPr>
          <w:rFonts w:ascii="Arial" w:hAnsi="Arial"/>
          <w:sz w:val="20"/>
        </w:rPr>
        <w:tab/>
        <w:t>D</w:t>
      </w:r>
      <w:r w:rsidR="004674D1">
        <w:rPr>
          <w:rFonts w:ascii="Arial" w:hAnsi="Arial"/>
          <w:sz w:val="20"/>
        </w:rPr>
        <w:t>etermination of Tax Credit (</w:t>
      </w:r>
      <w:r w:rsidR="004674D1">
        <w:rPr>
          <w:rFonts w:ascii="Arial" w:hAnsi="Arial"/>
          <w:sz w:val="22"/>
        </w:rPr>
        <w:t xml:space="preserve">Minnesota Housing </w:t>
      </w:r>
      <w:r w:rsidR="00BE7B7D">
        <w:rPr>
          <w:rFonts w:ascii="Arial" w:hAnsi="Arial"/>
          <w:sz w:val="20"/>
        </w:rPr>
        <w:t>Common Application Form</w:t>
      </w:r>
      <w:r>
        <w:rPr>
          <w:rFonts w:ascii="Arial" w:hAnsi="Arial"/>
          <w:sz w:val="20"/>
        </w:rPr>
        <w:t xml:space="preserve"> &amp; LIHC-8)</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J</w:t>
      </w:r>
      <w:r>
        <w:rPr>
          <w:rFonts w:ascii="Arial" w:hAnsi="Arial"/>
          <w:sz w:val="20"/>
        </w:rPr>
        <w:tab/>
        <w:t>Agreement to Utilize P</w:t>
      </w:r>
      <w:r w:rsidR="004674D1">
        <w:rPr>
          <w:rFonts w:ascii="Arial" w:hAnsi="Arial"/>
          <w:sz w:val="20"/>
        </w:rPr>
        <w:t>ublic Housing Waiting List (</w:t>
      </w:r>
      <w:r w:rsidR="004674D1">
        <w:rPr>
          <w:rFonts w:ascii="Arial" w:hAnsi="Arial"/>
          <w:sz w:val="22"/>
        </w:rPr>
        <w:t xml:space="preserve">Minnesota Housing </w:t>
      </w:r>
      <w:r>
        <w:rPr>
          <w:rFonts w:ascii="Arial" w:hAnsi="Arial"/>
          <w:sz w:val="20"/>
        </w:rPr>
        <w:t>LIHC-11)</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K</w:t>
      </w:r>
      <w:r>
        <w:rPr>
          <w:rFonts w:ascii="Arial" w:hAnsi="Arial"/>
          <w:sz w:val="20"/>
        </w:rPr>
        <w:tab/>
        <w:t>Zoning Letter</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w:t>
      </w:r>
      <w:r w:rsidR="004674D1">
        <w:rPr>
          <w:rFonts w:ascii="Arial" w:hAnsi="Arial"/>
          <w:sz w:val="20"/>
        </w:rPr>
        <w:t>t L</w:t>
      </w:r>
      <w:r w:rsidR="004674D1">
        <w:rPr>
          <w:rFonts w:ascii="Arial" w:hAnsi="Arial"/>
          <w:sz w:val="20"/>
        </w:rPr>
        <w:tab/>
        <w:t>Previous Participation (</w:t>
      </w:r>
      <w:r w:rsidR="004674D1">
        <w:rPr>
          <w:rFonts w:ascii="Arial" w:hAnsi="Arial"/>
          <w:sz w:val="22"/>
        </w:rPr>
        <w:t xml:space="preserve">Minnesota Housing </w:t>
      </w:r>
      <w:r>
        <w:rPr>
          <w:rFonts w:ascii="Arial" w:hAnsi="Arial"/>
          <w:sz w:val="20"/>
        </w:rPr>
        <w:t>LIHC-17)</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w:t>
      </w:r>
      <w:r w:rsidR="004674D1">
        <w:rPr>
          <w:rFonts w:ascii="Arial" w:hAnsi="Arial"/>
          <w:sz w:val="20"/>
        </w:rPr>
        <w:t>ibit M</w:t>
      </w:r>
      <w:r w:rsidR="004674D1">
        <w:rPr>
          <w:rFonts w:ascii="Arial" w:hAnsi="Arial"/>
          <w:sz w:val="20"/>
        </w:rPr>
        <w:tab/>
        <w:t>Project Team Resume (</w:t>
      </w:r>
      <w:r w:rsidR="004674D1">
        <w:rPr>
          <w:rFonts w:ascii="Arial" w:hAnsi="Arial"/>
          <w:sz w:val="22"/>
        </w:rPr>
        <w:t xml:space="preserve">Minnesota Housing </w:t>
      </w:r>
      <w:r>
        <w:rPr>
          <w:rFonts w:ascii="Arial" w:hAnsi="Arial"/>
          <w:sz w:val="20"/>
        </w:rPr>
        <w:t>LIHC-19)</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N</w:t>
      </w:r>
      <w:r w:rsidR="004674D1">
        <w:rPr>
          <w:rFonts w:ascii="Arial" w:hAnsi="Arial"/>
          <w:sz w:val="20"/>
        </w:rPr>
        <w:tab/>
        <w:t>Transfer of Interest Form (</w:t>
      </w:r>
      <w:r w:rsidR="004674D1">
        <w:rPr>
          <w:rFonts w:ascii="Arial" w:hAnsi="Arial"/>
          <w:sz w:val="22"/>
        </w:rPr>
        <w:t xml:space="preserve">Minnesota Housing </w:t>
      </w:r>
      <w:r>
        <w:rPr>
          <w:rFonts w:ascii="Arial" w:hAnsi="Arial"/>
          <w:sz w:val="20"/>
        </w:rPr>
        <w:t>LIHC-27)</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O</w:t>
      </w:r>
      <w:r>
        <w:rPr>
          <w:rFonts w:ascii="Arial" w:hAnsi="Arial"/>
          <w:sz w:val="20"/>
        </w:rPr>
        <w:tab/>
        <w:t>Rent and Income Limits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P</w:t>
      </w:r>
      <w:r>
        <w:rPr>
          <w:rFonts w:ascii="Arial" w:hAnsi="Arial"/>
          <w:sz w:val="20"/>
        </w:rPr>
        <w:tab/>
        <w:t>Guidelin</w:t>
      </w:r>
      <w:r w:rsidR="00D63042">
        <w:rPr>
          <w:rFonts w:ascii="Arial" w:hAnsi="Arial"/>
          <w:sz w:val="20"/>
        </w:rPr>
        <w:t>es for Determining Section 501(c</w:t>
      </w:r>
      <w:r>
        <w:rPr>
          <w:rFonts w:ascii="Arial" w:hAnsi="Arial"/>
          <w:sz w:val="20"/>
        </w:rPr>
        <w:t>)(3) Status</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E03091" w:rsidRDefault="005F6082" w:rsidP="00467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w:t>
      </w:r>
      <w:r w:rsidR="004674D1">
        <w:rPr>
          <w:rFonts w:ascii="Arial" w:hAnsi="Arial"/>
          <w:sz w:val="20"/>
        </w:rPr>
        <w:t>t Q</w:t>
      </w:r>
      <w:r w:rsidR="004674D1">
        <w:rPr>
          <w:rFonts w:ascii="Arial" w:hAnsi="Arial"/>
          <w:sz w:val="20"/>
        </w:rPr>
        <w:tab/>
        <w:t>Treasury Regulation §1.42-5, Section 42 Housing Tax Credit Program Compliance Manual for Minneapolis – Saint Paul Housing Finance Board</w:t>
      </w:r>
    </w:p>
    <w:p w:rsidR="004674D1" w:rsidRDefault="00467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R</w:t>
      </w:r>
      <w:r>
        <w:rPr>
          <w:rFonts w:ascii="Arial" w:hAnsi="Arial"/>
          <w:sz w:val="20"/>
        </w:rPr>
        <w:tab/>
        <w:t>Declaration of Restrictive Land Use Covenant</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S</w:t>
      </w:r>
      <w:r>
        <w:rPr>
          <w:rFonts w:ascii="Arial" w:hAnsi="Arial"/>
          <w:sz w:val="20"/>
        </w:rPr>
        <w:tab/>
        <w:t>Worksheet for Qualifi</w:t>
      </w:r>
      <w:r w:rsidR="0063431E">
        <w:rPr>
          <w:rFonts w:ascii="Arial" w:hAnsi="Arial"/>
          <w:sz w:val="20"/>
        </w:rPr>
        <w:t>ed Basis (</w:t>
      </w:r>
      <w:r w:rsidR="0063431E">
        <w:rPr>
          <w:rFonts w:ascii="Arial" w:hAnsi="Arial"/>
          <w:sz w:val="22"/>
        </w:rPr>
        <w:t xml:space="preserve">Minnesota Housing </w:t>
      </w:r>
      <w:r>
        <w:rPr>
          <w:rFonts w:ascii="Arial" w:hAnsi="Arial"/>
          <w:sz w:val="20"/>
        </w:rPr>
        <w:t>LIHC-28)</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Exhibit </w:t>
      </w:r>
      <w:r w:rsidR="0063431E">
        <w:rPr>
          <w:rFonts w:ascii="Arial" w:hAnsi="Arial"/>
          <w:sz w:val="20"/>
        </w:rPr>
        <w:t>T</w:t>
      </w:r>
      <w:r w:rsidR="0063431E">
        <w:rPr>
          <w:rFonts w:ascii="Arial" w:hAnsi="Arial"/>
          <w:sz w:val="20"/>
        </w:rPr>
        <w:tab/>
        <w:t>Final Cost Certification (</w:t>
      </w:r>
      <w:r w:rsidR="0063431E">
        <w:rPr>
          <w:rFonts w:ascii="Arial" w:hAnsi="Arial"/>
          <w:sz w:val="22"/>
        </w:rPr>
        <w:t xml:space="preserve">Minnesota Housing </w:t>
      </w:r>
      <w:r>
        <w:rPr>
          <w:rFonts w:ascii="Arial" w:hAnsi="Arial"/>
          <w:sz w:val="20"/>
        </w:rPr>
        <w:t>LIHC-9)</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U</w:t>
      </w:r>
      <w:r>
        <w:rPr>
          <w:rFonts w:ascii="Arial" w:hAnsi="Arial"/>
          <w:sz w:val="20"/>
        </w:rPr>
        <w:tab/>
        <w:t>Certification by Owner/Applican</w:t>
      </w:r>
      <w:r w:rsidR="0063431E">
        <w:rPr>
          <w:rFonts w:ascii="Arial" w:hAnsi="Arial"/>
          <w:sz w:val="20"/>
        </w:rPr>
        <w:t>t for Issuance of IRS 8609 (</w:t>
      </w:r>
      <w:r w:rsidR="0063431E">
        <w:rPr>
          <w:rFonts w:ascii="Arial" w:hAnsi="Arial"/>
          <w:sz w:val="22"/>
        </w:rPr>
        <w:t xml:space="preserve">Minnesota Housing </w:t>
      </w:r>
      <w:r>
        <w:rPr>
          <w:rFonts w:ascii="Arial" w:hAnsi="Arial"/>
          <w:sz w:val="20"/>
        </w:rPr>
        <w:t>LIHC-3)</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V</w:t>
      </w:r>
      <w:r>
        <w:rPr>
          <w:rFonts w:ascii="Arial" w:hAnsi="Arial"/>
          <w:sz w:val="20"/>
        </w:rPr>
        <w:tab/>
        <w:t>Non-concentrated Areas of Race and Poverty</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W</w:t>
      </w:r>
      <w:r>
        <w:rPr>
          <w:rFonts w:ascii="Arial" w:hAnsi="Arial"/>
          <w:sz w:val="20"/>
        </w:rPr>
        <w:tab/>
        <w:t xml:space="preserve">Rent Floor Election/Certification </w:t>
      </w:r>
      <w:r w:rsidR="0063431E">
        <w:rPr>
          <w:rFonts w:ascii="Arial" w:hAnsi="Arial"/>
          <w:sz w:val="20"/>
        </w:rPr>
        <w:t>(</w:t>
      </w:r>
      <w:r w:rsidR="0063431E">
        <w:rPr>
          <w:rFonts w:ascii="Arial" w:hAnsi="Arial"/>
          <w:sz w:val="22"/>
        </w:rPr>
        <w:t xml:space="preserve">Minnesota Housing </w:t>
      </w:r>
      <w:r>
        <w:rPr>
          <w:rFonts w:ascii="Arial" w:hAnsi="Arial"/>
          <w:sz w:val="20"/>
        </w:rPr>
        <w:t>LIHC-26)</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sz w:val="20"/>
        </w:rPr>
      </w:pP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t>Exhibit X</w:t>
      </w:r>
      <w:r>
        <w:rPr>
          <w:rFonts w:ascii="Arial" w:hAnsi="Arial"/>
          <w:sz w:val="20"/>
        </w:rPr>
        <w:tab/>
        <w:t>Maintenance and Operating Expense Review and Underwriting Certification (HTC-29)</w:t>
      </w:r>
    </w:p>
    <w:p w:rsidR="005F6082" w:rsidRDefault="005F6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5F6082" w:rsidRDefault="005F6082" w:rsidP="00FA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Exhibit Y</w:t>
      </w:r>
      <w:r>
        <w:rPr>
          <w:rFonts w:ascii="Arial" w:hAnsi="Arial"/>
          <w:sz w:val="20"/>
        </w:rPr>
        <w:tab/>
        <w:t>Opinion of Counsel - Placed in Service</w:t>
      </w:r>
    </w:p>
    <w:p w:rsidR="009A2195" w:rsidRPr="00922918" w:rsidRDefault="009A2195"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Pr>
          <w:rFonts w:ascii="Arial" w:hAnsi="Arial"/>
          <w:sz w:val="20"/>
        </w:rPr>
        <w:lastRenderedPageBreak/>
        <w:t>Exhibit Z</w:t>
      </w:r>
      <w:r>
        <w:rPr>
          <w:rFonts w:ascii="Arial" w:hAnsi="Arial"/>
          <w:sz w:val="20"/>
        </w:rPr>
        <w:tab/>
      </w:r>
      <w:r w:rsidRPr="00922918">
        <w:rPr>
          <w:rFonts w:ascii="Arial" w:hAnsi="Arial"/>
          <w:sz w:val="20"/>
        </w:rPr>
        <w:t>Affirmative Fair Housing Marketing Plan (AFHMP) - Multifamily Housing (HUD-935.2A)</w:t>
      </w:r>
    </w:p>
    <w:p w:rsidR="00DA482C" w:rsidRDefault="00DA482C"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2"/>
        </w:rPr>
      </w:pPr>
    </w:p>
    <w:p w:rsidR="00DA482C" w:rsidRPr="00E66E58" w:rsidRDefault="00DA482C"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E66E58">
        <w:rPr>
          <w:rFonts w:ascii="Arial" w:hAnsi="Arial"/>
          <w:sz w:val="20"/>
        </w:rPr>
        <w:t>Exhibit AA</w:t>
      </w:r>
      <w:r w:rsidRPr="00E66E58">
        <w:rPr>
          <w:rFonts w:ascii="Arial" w:hAnsi="Arial"/>
          <w:sz w:val="20"/>
        </w:rPr>
        <w:tab/>
        <w:t>Equal Employment Opportunity Policy Statement</w:t>
      </w:r>
    </w:p>
    <w:p w:rsidR="00350C66" w:rsidRPr="00E66E58" w:rsidRDefault="00350C66"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p>
    <w:p w:rsidR="00350C66" w:rsidRPr="00E66E58" w:rsidRDefault="00350C66"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sz w:val="20"/>
        </w:rPr>
      </w:pPr>
      <w:r w:rsidRPr="00E66E58">
        <w:rPr>
          <w:rFonts w:ascii="Arial" w:hAnsi="Arial"/>
          <w:sz w:val="20"/>
        </w:rPr>
        <w:t>Exhibit A</w:t>
      </w:r>
      <w:r w:rsidR="00DA482C" w:rsidRPr="00E66E58">
        <w:rPr>
          <w:rFonts w:ascii="Arial" w:hAnsi="Arial"/>
          <w:sz w:val="20"/>
        </w:rPr>
        <w:t>B</w:t>
      </w:r>
      <w:r w:rsidRPr="00E66E58">
        <w:rPr>
          <w:rFonts w:ascii="Arial" w:hAnsi="Arial"/>
          <w:sz w:val="20"/>
        </w:rPr>
        <w:tab/>
        <w:t>Multifamily – Intended Methods Worksheet: MN Overlay to Green Communities</w:t>
      </w:r>
    </w:p>
    <w:p w:rsidR="00350C66" w:rsidRPr="00E66E58" w:rsidRDefault="00350C66" w:rsidP="00350C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olor w:val="FF0000"/>
          <w:sz w:val="20"/>
        </w:rPr>
      </w:pPr>
    </w:p>
    <w:sectPr w:rsidR="00350C66" w:rsidRPr="00E66E58" w:rsidSect="00A5145D">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92" w:rsidRDefault="005E4292">
      <w:r>
        <w:separator/>
      </w:r>
    </w:p>
  </w:endnote>
  <w:endnote w:type="continuationSeparator" w:id="0">
    <w:p w:rsidR="005E4292" w:rsidRDefault="005E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92" w:rsidRPr="00E1505E" w:rsidRDefault="005E4292" w:rsidP="00E1505E">
    <w:pPr>
      <w:pStyle w:val="Footer"/>
      <w:spacing w:line="200" w:lineRule="exact"/>
    </w:pPr>
    <w:r w:rsidRPr="00E1505E">
      <w:rPr>
        <w:rStyle w:val="zzmpTrailerItem"/>
      </w:rPr>
      <w:t>4816-7646-4478.6</w:t>
    </w:r>
    <w:r w:rsidRPr="00E1505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92" w:rsidRDefault="005E4292">
    <w:pPr>
      <w:pStyle w:val="Header"/>
      <w:jc w:val="center"/>
      <w:rPr>
        <w:rStyle w:val="PageNumber"/>
        <w:rFonts w:ascii="Arial" w:hAnsi="Arial"/>
        <w:sz w:val="22"/>
        <w:szCs w:val="22"/>
      </w:rPr>
    </w:pPr>
    <w:r w:rsidRPr="00F7518F">
      <w:rPr>
        <w:rStyle w:val="PageNumber"/>
        <w:rFonts w:ascii="Arial" w:hAnsi="Arial"/>
        <w:sz w:val="22"/>
        <w:szCs w:val="22"/>
      </w:rPr>
      <w:fldChar w:fldCharType="begin"/>
    </w:r>
    <w:r w:rsidRPr="00F7518F">
      <w:rPr>
        <w:rStyle w:val="PageNumber"/>
        <w:rFonts w:ascii="Arial" w:hAnsi="Arial"/>
        <w:sz w:val="22"/>
        <w:szCs w:val="22"/>
      </w:rPr>
      <w:instrText xml:space="preserve"> PAGE </w:instrText>
    </w:r>
    <w:r w:rsidRPr="00F7518F">
      <w:rPr>
        <w:rStyle w:val="PageNumber"/>
        <w:rFonts w:ascii="Arial" w:hAnsi="Arial"/>
        <w:sz w:val="22"/>
        <w:szCs w:val="22"/>
      </w:rPr>
      <w:fldChar w:fldCharType="separate"/>
    </w:r>
    <w:r w:rsidR="006275F6">
      <w:rPr>
        <w:rStyle w:val="PageNumber"/>
        <w:rFonts w:ascii="Arial" w:hAnsi="Arial"/>
        <w:noProof/>
        <w:sz w:val="22"/>
        <w:szCs w:val="22"/>
      </w:rPr>
      <w:t>24</w:t>
    </w:r>
    <w:r w:rsidRPr="00F7518F">
      <w:rPr>
        <w:rStyle w:val="PageNumber"/>
        <w:rFonts w:ascii="Arial" w:hAnsi="Arial"/>
        <w:sz w:val="22"/>
        <w:szCs w:val="22"/>
      </w:rPr>
      <w:fldChar w:fldCharType="end"/>
    </w:r>
  </w:p>
  <w:p w:rsidR="005E4292" w:rsidRDefault="005E4292" w:rsidP="00E1505E">
    <w:pPr>
      <w:pStyle w:val="Header"/>
      <w:spacing w:line="200" w:lineRule="exact"/>
      <w:rPr>
        <w:rStyle w:val="PageNumber"/>
        <w:rFonts w:ascii="Arial" w:hAnsi="Arial"/>
        <w:sz w:val="22"/>
        <w:szCs w:val="22"/>
      </w:rPr>
    </w:pPr>
    <w:r w:rsidRPr="00E1505E">
      <w:rPr>
        <w:rStyle w:val="zzmpTrailerItem"/>
      </w:rPr>
      <w:t>4816-7646-4478.6</w:t>
    </w:r>
    <w:r w:rsidRPr="00E1505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92" w:rsidRDefault="005E4292">
      <w:r>
        <w:separator/>
      </w:r>
    </w:p>
  </w:footnote>
  <w:footnote w:type="continuationSeparator" w:id="0">
    <w:p w:rsidR="005E4292" w:rsidRDefault="005E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92" w:rsidRDefault="005E4292">
    <w:pPr>
      <w:pStyle w:val="Header"/>
      <w:jc w:val="right"/>
      <w:rPr>
        <w:rFonts w:ascii="Arial" w:hAnsi="Arial"/>
        <w:i/>
        <w:sz w:val="16"/>
      </w:rPr>
    </w:pPr>
    <w:r>
      <w:rPr>
        <w:rFonts w:ascii="Arial" w:hAnsi="Arial"/>
        <w:i/>
        <w:sz w:val="16"/>
      </w:rPr>
      <w:t>Minneapolis / Saint Paul Housing Finance Board</w:t>
    </w:r>
  </w:p>
  <w:p w:rsidR="005E4292" w:rsidRDefault="005E4292">
    <w:pPr>
      <w:pStyle w:val="Header"/>
      <w:jc w:val="right"/>
    </w:pPr>
    <w:r>
      <w:rPr>
        <w:rFonts w:ascii="Arial" w:hAnsi="Arial"/>
        <w:i/>
        <w:sz w:val="16"/>
      </w:rPr>
      <w:t>2019 Low Income Housing Tax Credit Procedural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6CE"/>
    <w:multiLevelType w:val="hybridMultilevel"/>
    <w:tmpl w:val="024CA05C"/>
    <w:lvl w:ilvl="0" w:tplc="51D49E00">
      <w:start w:val="17"/>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3B90BF7"/>
    <w:multiLevelType w:val="hybridMultilevel"/>
    <w:tmpl w:val="0400CB74"/>
    <w:lvl w:ilvl="0" w:tplc="07D84024">
      <w:start w:val="1"/>
      <w:numFmt w:val="decimal"/>
      <w:lvlText w:val="%1."/>
      <w:lvlJc w:val="left"/>
      <w:pPr>
        <w:ind w:left="4225" w:hanging="360"/>
      </w:pPr>
      <w:rPr>
        <w:rFonts w:hint="default"/>
      </w:rPr>
    </w:lvl>
    <w:lvl w:ilvl="1" w:tplc="04090019" w:tentative="1">
      <w:start w:val="1"/>
      <w:numFmt w:val="lowerLetter"/>
      <w:lvlText w:val="%2."/>
      <w:lvlJc w:val="left"/>
      <w:pPr>
        <w:ind w:left="4945" w:hanging="360"/>
      </w:pPr>
    </w:lvl>
    <w:lvl w:ilvl="2" w:tplc="0409001B" w:tentative="1">
      <w:start w:val="1"/>
      <w:numFmt w:val="lowerRoman"/>
      <w:lvlText w:val="%3."/>
      <w:lvlJc w:val="right"/>
      <w:pPr>
        <w:ind w:left="5665" w:hanging="180"/>
      </w:pPr>
    </w:lvl>
    <w:lvl w:ilvl="3" w:tplc="0409000F" w:tentative="1">
      <w:start w:val="1"/>
      <w:numFmt w:val="decimal"/>
      <w:lvlText w:val="%4."/>
      <w:lvlJc w:val="left"/>
      <w:pPr>
        <w:ind w:left="6385" w:hanging="360"/>
      </w:pPr>
    </w:lvl>
    <w:lvl w:ilvl="4" w:tplc="04090019" w:tentative="1">
      <w:start w:val="1"/>
      <w:numFmt w:val="lowerLetter"/>
      <w:lvlText w:val="%5."/>
      <w:lvlJc w:val="left"/>
      <w:pPr>
        <w:ind w:left="7105" w:hanging="360"/>
      </w:pPr>
    </w:lvl>
    <w:lvl w:ilvl="5" w:tplc="0409001B" w:tentative="1">
      <w:start w:val="1"/>
      <w:numFmt w:val="lowerRoman"/>
      <w:lvlText w:val="%6."/>
      <w:lvlJc w:val="right"/>
      <w:pPr>
        <w:ind w:left="7825" w:hanging="180"/>
      </w:pPr>
    </w:lvl>
    <w:lvl w:ilvl="6" w:tplc="0409000F" w:tentative="1">
      <w:start w:val="1"/>
      <w:numFmt w:val="decimal"/>
      <w:lvlText w:val="%7."/>
      <w:lvlJc w:val="left"/>
      <w:pPr>
        <w:ind w:left="8545" w:hanging="360"/>
      </w:pPr>
    </w:lvl>
    <w:lvl w:ilvl="7" w:tplc="04090019" w:tentative="1">
      <w:start w:val="1"/>
      <w:numFmt w:val="lowerLetter"/>
      <w:lvlText w:val="%8."/>
      <w:lvlJc w:val="left"/>
      <w:pPr>
        <w:ind w:left="9265" w:hanging="360"/>
      </w:pPr>
    </w:lvl>
    <w:lvl w:ilvl="8" w:tplc="0409001B" w:tentative="1">
      <w:start w:val="1"/>
      <w:numFmt w:val="lowerRoman"/>
      <w:lvlText w:val="%9."/>
      <w:lvlJc w:val="right"/>
      <w:pPr>
        <w:ind w:left="9985" w:hanging="180"/>
      </w:pPr>
    </w:lvl>
  </w:abstractNum>
  <w:abstractNum w:abstractNumId="2">
    <w:nsid w:val="0FD63C07"/>
    <w:multiLevelType w:val="hybridMultilevel"/>
    <w:tmpl w:val="D46E2DE6"/>
    <w:lvl w:ilvl="0" w:tplc="91A85D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34470C"/>
    <w:multiLevelType w:val="hybridMultilevel"/>
    <w:tmpl w:val="9544F264"/>
    <w:lvl w:ilvl="0" w:tplc="6E3C946C">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D5507"/>
    <w:multiLevelType w:val="hybridMultilevel"/>
    <w:tmpl w:val="FEFCCF8A"/>
    <w:lvl w:ilvl="0" w:tplc="CB32B0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B193335"/>
    <w:multiLevelType w:val="hybridMultilevel"/>
    <w:tmpl w:val="35A0B14A"/>
    <w:lvl w:ilvl="0" w:tplc="CD0CD306">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nsid w:val="28DE11A1"/>
    <w:multiLevelType w:val="singleLevel"/>
    <w:tmpl w:val="FCDE9060"/>
    <w:lvl w:ilvl="0">
      <w:start w:val="2"/>
      <w:numFmt w:val="upperLetter"/>
      <w:lvlText w:val="%1."/>
      <w:lvlJc w:val="left"/>
      <w:pPr>
        <w:tabs>
          <w:tab w:val="num" w:pos="1440"/>
        </w:tabs>
        <w:ind w:left="1440" w:hanging="720"/>
      </w:pPr>
      <w:rPr>
        <w:rFonts w:hint="default"/>
      </w:rPr>
    </w:lvl>
  </w:abstractNum>
  <w:abstractNum w:abstractNumId="7">
    <w:nsid w:val="2F74217A"/>
    <w:multiLevelType w:val="hybridMultilevel"/>
    <w:tmpl w:val="D99E0250"/>
    <w:lvl w:ilvl="0" w:tplc="C16A976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31494B"/>
    <w:multiLevelType w:val="hybridMultilevel"/>
    <w:tmpl w:val="1AE2A618"/>
    <w:lvl w:ilvl="0" w:tplc="46E63740">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23722B"/>
    <w:multiLevelType w:val="hybridMultilevel"/>
    <w:tmpl w:val="B1BCEC40"/>
    <w:lvl w:ilvl="0" w:tplc="6E3C946C">
      <w:start w:val="1"/>
      <w:numFmt w:val="lowerLetter"/>
      <w:lvlText w:val="%1)"/>
      <w:lvlJc w:val="left"/>
      <w:pPr>
        <w:tabs>
          <w:tab w:val="num" w:pos="2520"/>
        </w:tabs>
        <w:ind w:left="2520" w:hanging="360"/>
      </w:pPr>
      <w:rPr>
        <w:rFonts w:hint="default"/>
      </w:rPr>
    </w:lvl>
    <w:lvl w:ilvl="1" w:tplc="E814DD30">
      <w:start w:val="17"/>
      <w:numFmt w:val="upperLetter"/>
      <w:lvlText w:val="%2."/>
      <w:lvlJc w:val="left"/>
      <w:pPr>
        <w:ind w:left="117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F36BF"/>
    <w:multiLevelType w:val="hybridMultilevel"/>
    <w:tmpl w:val="19982290"/>
    <w:lvl w:ilvl="0" w:tplc="AC3AA2AE">
      <w:start w:val="1"/>
      <w:numFmt w:val="low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847F8"/>
    <w:multiLevelType w:val="hybridMultilevel"/>
    <w:tmpl w:val="5AC0D01E"/>
    <w:lvl w:ilvl="0" w:tplc="C16A976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D716DA"/>
    <w:multiLevelType w:val="singleLevel"/>
    <w:tmpl w:val="D7B83864"/>
    <w:lvl w:ilvl="0">
      <w:start w:val="3"/>
      <w:numFmt w:val="lowerLetter"/>
      <w:lvlText w:val="(%1)"/>
      <w:lvlJc w:val="left"/>
      <w:pPr>
        <w:tabs>
          <w:tab w:val="num" w:pos="2880"/>
        </w:tabs>
        <w:ind w:left="2880" w:hanging="720"/>
      </w:pPr>
      <w:rPr>
        <w:rFonts w:hint="default"/>
      </w:rPr>
    </w:lvl>
  </w:abstractNum>
  <w:abstractNum w:abstractNumId="13">
    <w:nsid w:val="3B752881"/>
    <w:multiLevelType w:val="hybridMultilevel"/>
    <w:tmpl w:val="57D29E32"/>
    <w:lvl w:ilvl="0" w:tplc="6DD8847E">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48C044AB"/>
    <w:multiLevelType w:val="hybridMultilevel"/>
    <w:tmpl w:val="51F6E1E2"/>
    <w:lvl w:ilvl="0" w:tplc="1B54C2B8">
      <w:start w:val="19"/>
      <w:numFmt w:val="upperLetter"/>
      <w:lvlText w:val="%1."/>
      <w:lvlJc w:val="left"/>
      <w:pPr>
        <w:ind w:left="1800" w:hanging="360"/>
      </w:pPr>
      <w:rPr>
        <w:rFonts w:hint="default"/>
        <w:i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F77B9"/>
    <w:multiLevelType w:val="hybridMultilevel"/>
    <w:tmpl w:val="05F26264"/>
    <w:lvl w:ilvl="0" w:tplc="09D6A510">
      <w:start w:val="2"/>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483B7B"/>
    <w:multiLevelType w:val="hybridMultilevel"/>
    <w:tmpl w:val="21FE5AAE"/>
    <w:lvl w:ilvl="0" w:tplc="C16A976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D1347"/>
    <w:multiLevelType w:val="hybridMultilevel"/>
    <w:tmpl w:val="735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26082"/>
    <w:multiLevelType w:val="hybridMultilevel"/>
    <w:tmpl w:val="6CA2EB06"/>
    <w:lvl w:ilvl="0" w:tplc="6E3C94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AA21206"/>
    <w:multiLevelType w:val="singleLevel"/>
    <w:tmpl w:val="0409000F"/>
    <w:lvl w:ilvl="0">
      <w:start w:val="1"/>
      <w:numFmt w:val="decimal"/>
      <w:lvlText w:val="%1."/>
      <w:lvlJc w:val="left"/>
      <w:pPr>
        <w:tabs>
          <w:tab w:val="num" w:pos="360"/>
        </w:tabs>
        <w:ind w:left="360" w:hanging="360"/>
      </w:pPr>
    </w:lvl>
  </w:abstractNum>
  <w:abstractNum w:abstractNumId="20">
    <w:nsid w:val="6BE03999"/>
    <w:multiLevelType w:val="hybridMultilevel"/>
    <w:tmpl w:val="D5FCE120"/>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C8E42C8"/>
    <w:multiLevelType w:val="hybridMultilevel"/>
    <w:tmpl w:val="E58496B4"/>
    <w:lvl w:ilvl="0" w:tplc="A252B2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0F400F4"/>
    <w:multiLevelType w:val="hybridMultilevel"/>
    <w:tmpl w:val="647C8294"/>
    <w:lvl w:ilvl="0" w:tplc="90C8B4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72F72F9F"/>
    <w:multiLevelType w:val="hybridMultilevel"/>
    <w:tmpl w:val="E9422D70"/>
    <w:lvl w:ilvl="0" w:tplc="F2D6B89C">
      <w:start w:val="1"/>
      <w:numFmt w:val="lowerLetter"/>
      <w:lvlText w:val="%1."/>
      <w:lvlJc w:val="left"/>
      <w:pPr>
        <w:ind w:left="11160" w:hanging="360"/>
      </w:pPr>
      <w:rPr>
        <w:rFonts w:hint="default"/>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24">
    <w:nsid w:val="747B51C3"/>
    <w:multiLevelType w:val="hybridMultilevel"/>
    <w:tmpl w:val="F9A01282"/>
    <w:lvl w:ilvl="0" w:tplc="B85413C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nsid w:val="79017F3E"/>
    <w:multiLevelType w:val="hybridMultilevel"/>
    <w:tmpl w:val="DC006B76"/>
    <w:lvl w:ilvl="0" w:tplc="7250E2C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2"/>
  </w:num>
  <w:num w:numId="2">
    <w:abstractNumId w:val="6"/>
  </w:num>
  <w:num w:numId="3">
    <w:abstractNumId w:val="19"/>
  </w:num>
  <w:num w:numId="4">
    <w:abstractNumId w:val="7"/>
  </w:num>
  <w:num w:numId="5">
    <w:abstractNumId w:val="8"/>
  </w:num>
  <w:num w:numId="6">
    <w:abstractNumId w:val="18"/>
  </w:num>
  <w:num w:numId="7">
    <w:abstractNumId w:val="0"/>
  </w:num>
  <w:num w:numId="8">
    <w:abstractNumId w:val="20"/>
  </w:num>
  <w:num w:numId="9">
    <w:abstractNumId w:val="3"/>
  </w:num>
  <w:num w:numId="10">
    <w:abstractNumId w:val="9"/>
  </w:num>
  <w:num w:numId="11">
    <w:abstractNumId w:val="17"/>
  </w:num>
  <w:num w:numId="12">
    <w:abstractNumId w:val="11"/>
  </w:num>
  <w:num w:numId="13">
    <w:abstractNumId w:val="16"/>
  </w:num>
  <w:num w:numId="14">
    <w:abstractNumId w:val="14"/>
  </w:num>
  <w:num w:numId="15">
    <w:abstractNumId w:val="5"/>
  </w:num>
  <w:num w:numId="16">
    <w:abstractNumId w:val="25"/>
  </w:num>
  <w:num w:numId="17">
    <w:abstractNumId w:val="21"/>
  </w:num>
  <w:num w:numId="18">
    <w:abstractNumId w:val="2"/>
  </w:num>
  <w:num w:numId="19">
    <w:abstractNumId w:val="23"/>
  </w:num>
  <w:num w:numId="20">
    <w:abstractNumId w:val="13"/>
  </w:num>
  <w:num w:numId="21">
    <w:abstractNumId w:val="24"/>
  </w:num>
  <w:num w:numId="22">
    <w:abstractNumId w:val="22"/>
  </w:num>
  <w:num w:numId="23">
    <w:abstractNumId w:val="4"/>
  </w:num>
  <w:num w:numId="24">
    <w:abstractNumId w:val="1"/>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DocStamp_2_DocID" w:val="C:\NetDocs\VAULT-patricia.peterson\2019 LIHTC PROCEDURAL MANUAL 4816-7646-4478 v.3.docx"/>
    <w:docVar w:name="DocStamp_2_IncludeDate" w:val="False"/>
    <w:docVar w:name="DocStamp_2_IncludeDraftText" w:val="False"/>
    <w:docVar w:name="DocStamp_2_IncludeTime" w:val="False"/>
    <w:docVar w:name="DocStamp_2_InsertDateAsField" w:val="False"/>
    <w:docVar w:name="DocStamp_2_TypeID" w:val="9"/>
    <w:docVar w:name="MPDocID" w:val="4816-7646-4478.6"/>
    <w:docVar w:name="MPDocIDTemplate" w:val="%n|.%v"/>
    <w:docVar w:name="MPDocIDTemplateDefault" w:val="%n|.%v"/>
    <w:docVar w:name="NewDocStampType" w:val="1"/>
    <w:docVar w:name="optCreateFrom" w:val="0"/>
    <w:docVar w:name="optInclude" w:val="0"/>
    <w:docVar w:name="StyleExclusions" w:val=",Heading 3,Heading 4,Heading 5,Heading 6,Heading 7,Heading 8,Heading 9,Title,"/>
    <w:docVar w:name="StyleInclusions" w:val=",Heading 1,Heading 2,"/>
    <w:docVar w:name="zzmpLTFontsClean" w:val="True"/>
    <w:docVar w:name="zzmpnSession" w:val="0.9038355"/>
  </w:docVars>
  <w:rsids>
    <w:rsidRoot w:val="002C5E1B"/>
    <w:rsid w:val="00002CD6"/>
    <w:rsid w:val="000050DC"/>
    <w:rsid w:val="00010B77"/>
    <w:rsid w:val="0001331D"/>
    <w:rsid w:val="000157BB"/>
    <w:rsid w:val="000164FA"/>
    <w:rsid w:val="00017945"/>
    <w:rsid w:val="00020C02"/>
    <w:rsid w:val="00022AA5"/>
    <w:rsid w:val="00032A64"/>
    <w:rsid w:val="00032F0D"/>
    <w:rsid w:val="00033059"/>
    <w:rsid w:val="00037135"/>
    <w:rsid w:val="00037199"/>
    <w:rsid w:val="00043513"/>
    <w:rsid w:val="00045C02"/>
    <w:rsid w:val="0004733F"/>
    <w:rsid w:val="00051D61"/>
    <w:rsid w:val="00052209"/>
    <w:rsid w:val="00052EEB"/>
    <w:rsid w:val="00053603"/>
    <w:rsid w:val="00057B22"/>
    <w:rsid w:val="00063310"/>
    <w:rsid w:val="00065D6D"/>
    <w:rsid w:val="00072218"/>
    <w:rsid w:val="000732CA"/>
    <w:rsid w:val="00073B9A"/>
    <w:rsid w:val="000751CC"/>
    <w:rsid w:val="00076B79"/>
    <w:rsid w:val="00087E78"/>
    <w:rsid w:val="0009009C"/>
    <w:rsid w:val="000931B6"/>
    <w:rsid w:val="000A39CA"/>
    <w:rsid w:val="000A44AF"/>
    <w:rsid w:val="000B64B0"/>
    <w:rsid w:val="000B7A16"/>
    <w:rsid w:val="000D3E89"/>
    <w:rsid w:val="000D54B3"/>
    <w:rsid w:val="000D6D92"/>
    <w:rsid w:val="000D71D8"/>
    <w:rsid w:val="000F1DB8"/>
    <w:rsid w:val="000F3628"/>
    <w:rsid w:val="00100350"/>
    <w:rsid w:val="00105FF6"/>
    <w:rsid w:val="001170DF"/>
    <w:rsid w:val="001223B4"/>
    <w:rsid w:val="001240BB"/>
    <w:rsid w:val="00124F3E"/>
    <w:rsid w:val="001261EA"/>
    <w:rsid w:val="00127A38"/>
    <w:rsid w:val="001339B2"/>
    <w:rsid w:val="00137B46"/>
    <w:rsid w:val="00147B2E"/>
    <w:rsid w:val="00152B86"/>
    <w:rsid w:val="001650AB"/>
    <w:rsid w:val="001672BB"/>
    <w:rsid w:val="00170E2A"/>
    <w:rsid w:val="00176F94"/>
    <w:rsid w:val="001774ED"/>
    <w:rsid w:val="00181EE4"/>
    <w:rsid w:val="0018286A"/>
    <w:rsid w:val="00183738"/>
    <w:rsid w:val="001867DF"/>
    <w:rsid w:val="00191E76"/>
    <w:rsid w:val="00193858"/>
    <w:rsid w:val="001A0117"/>
    <w:rsid w:val="001A304D"/>
    <w:rsid w:val="001A503C"/>
    <w:rsid w:val="001A6D81"/>
    <w:rsid w:val="001B25B0"/>
    <w:rsid w:val="001B5778"/>
    <w:rsid w:val="001B593D"/>
    <w:rsid w:val="001D044E"/>
    <w:rsid w:val="001D0604"/>
    <w:rsid w:val="001D3555"/>
    <w:rsid w:val="001D771A"/>
    <w:rsid w:val="001D7E91"/>
    <w:rsid w:val="001E10E0"/>
    <w:rsid w:val="001E12F9"/>
    <w:rsid w:val="00203C99"/>
    <w:rsid w:val="00210E7A"/>
    <w:rsid w:val="0021102E"/>
    <w:rsid w:val="002113CA"/>
    <w:rsid w:val="00211A67"/>
    <w:rsid w:val="00212609"/>
    <w:rsid w:val="00220A6D"/>
    <w:rsid w:val="00223945"/>
    <w:rsid w:val="00225734"/>
    <w:rsid w:val="00225C1E"/>
    <w:rsid w:val="00234655"/>
    <w:rsid w:val="002446BE"/>
    <w:rsid w:val="00251A68"/>
    <w:rsid w:val="002561CC"/>
    <w:rsid w:val="002617B6"/>
    <w:rsid w:val="0026193F"/>
    <w:rsid w:val="00261C9E"/>
    <w:rsid w:val="002648F4"/>
    <w:rsid w:val="00271D73"/>
    <w:rsid w:val="002759FB"/>
    <w:rsid w:val="00282BFB"/>
    <w:rsid w:val="00284754"/>
    <w:rsid w:val="00284AA0"/>
    <w:rsid w:val="00285ABD"/>
    <w:rsid w:val="00292B5D"/>
    <w:rsid w:val="00293443"/>
    <w:rsid w:val="00297A4F"/>
    <w:rsid w:val="002A1A17"/>
    <w:rsid w:val="002A1CC2"/>
    <w:rsid w:val="002A2675"/>
    <w:rsid w:val="002A3F15"/>
    <w:rsid w:val="002A4D41"/>
    <w:rsid w:val="002A7506"/>
    <w:rsid w:val="002B5504"/>
    <w:rsid w:val="002B67A9"/>
    <w:rsid w:val="002C4F70"/>
    <w:rsid w:val="002C5BB9"/>
    <w:rsid w:val="002C5E1B"/>
    <w:rsid w:val="002D05E9"/>
    <w:rsid w:val="002D3B9A"/>
    <w:rsid w:val="002D6668"/>
    <w:rsid w:val="002E30C5"/>
    <w:rsid w:val="002E3A85"/>
    <w:rsid w:val="002E6A25"/>
    <w:rsid w:val="002F3A22"/>
    <w:rsid w:val="002F772F"/>
    <w:rsid w:val="003007A8"/>
    <w:rsid w:val="0030218C"/>
    <w:rsid w:val="003032A9"/>
    <w:rsid w:val="003038A7"/>
    <w:rsid w:val="00306751"/>
    <w:rsid w:val="00307D46"/>
    <w:rsid w:val="003101A7"/>
    <w:rsid w:val="00314DDA"/>
    <w:rsid w:val="003154DB"/>
    <w:rsid w:val="00316EC4"/>
    <w:rsid w:val="00322068"/>
    <w:rsid w:val="00331559"/>
    <w:rsid w:val="00331A97"/>
    <w:rsid w:val="0033248F"/>
    <w:rsid w:val="003358DE"/>
    <w:rsid w:val="0033607D"/>
    <w:rsid w:val="00337433"/>
    <w:rsid w:val="0034036C"/>
    <w:rsid w:val="003424C2"/>
    <w:rsid w:val="003469CC"/>
    <w:rsid w:val="00350A65"/>
    <w:rsid w:val="00350C66"/>
    <w:rsid w:val="00351A44"/>
    <w:rsid w:val="00353164"/>
    <w:rsid w:val="00355F2E"/>
    <w:rsid w:val="0035705E"/>
    <w:rsid w:val="003601B2"/>
    <w:rsid w:val="00360DF4"/>
    <w:rsid w:val="003629E9"/>
    <w:rsid w:val="00370DD5"/>
    <w:rsid w:val="00372252"/>
    <w:rsid w:val="00373F70"/>
    <w:rsid w:val="00381FFA"/>
    <w:rsid w:val="00384E0E"/>
    <w:rsid w:val="00391179"/>
    <w:rsid w:val="00393683"/>
    <w:rsid w:val="00393B2E"/>
    <w:rsid w:val="00393E53"/>
    <w:rsid w:val="00394611"/>
    <w:rsid w:val="0039687B"/>
    <w:rsid w:val="00397653"/>
    <w:rsid w:val="003A14BA"/>
    <w:rsid w:val="003A3203"/>
    <w:rsid w:val="003A5634"/>
    <w:rsid w:val="003B17A2"/>
    <w:rsid w:val="003D1295"/>
    <w:rsid w:val="003D2761"/>
    <w:rsid w:val="003D7447"/>
    <w:rsid w:val="003E0580"/>
    <w:rsid w:val="003E3916"/>
    <w:rsid w:val="003F141F"/>
    <w:rsid w:val="003F1FA3"/>
    <w:rsid w:val="00400822"/>
    <w:rsid w:val="00402AA0"/>
    <w:rsid w:val="00406EEC"/>
    <w:rsid w:val="004131D2"/>
    <w:rsid w:val="00414A35"/>
    <w:rsid w:val="00416053"/>
    <w:rsid w:val="004162CD"/>
    <w:rsid w:val="00417680"/>
    <w:rsid w:val="0042024A"/>
    <w:rsid w:val="0042138B"/>
    <w:rsid w:val="004217DD"/>
    <w:rsid w:val="004272CA"/>
    <w:rsid w:val="00431BB7"/>
    <w:rsid w:val="00437DF1"/>
    <w:rsid w:val="00445CFB"/>
    <w:rsid w:val="004508E1"/>
    <w:rsid w:val="00461091"/>
    <w:rsid w:val="0046328C"/>
    <w:rsid w:val="00463CC8"/>
    <w:rsid w:val="00463FDE"/>
    <w:rsid w:val="00467402"/>
    <w:rsid w:val="004674D1"/>
    <w:rsid w:val="004729E4"/>
    <w:rsid w:val="00477415"/>
    <w:rsid w:val="00477F4F"/>
    <w:rsid w:val="00482404"/>
    <w:rsid w:val="0048276A"/>
    <w:rsid w:val="0049181D"/>
    <w:rsid w:val="00492323"/>
    <w:rsid w:val="004938D5"/>
    <w:rsid w:val="004941BC"/>
    <w:rsid w:val="00497316"/>
    <w:rsid w:val="004A0472"/>
    <w:rsid w:val="004A2DEB"/>
    <w:rsid w:val="004A64C8"/>
    <w:rsid w:val="004A76BB"/>
    <w:rsid w:val="004B4079"/>
    <w:rsid w:val="004C1173"/>
    <w:rsid w:val="004C4D1C"/>
    <w:rsid w:val="004D7077"/>
    <w:rsid w:val="004E3607"/>
    <w:rsid w:val="004F1B32"/>
    <w:rsid w:val="004F5E9B"/>
    <w:rsid w:val="004F61B3"/>
    <w:rsid w:val="00501EC8"/>
    <w:rsid w:val="00502389"/>
    <w:rsid w:val="0050259F"/>
    <w:rsid w:val="00503BA0"/>
    <w:rsid w:val="0050483E"/>
    <w:rsid w:val="005049B8"/>
    <w:rsid w:val="00505774"/>
    <w:rsid w:val="00507AEC"/>
    <w:rsid w:val="00511AA2"/>
    <w:rsid w:val="00512F3E"/>
    <w:rsid w:val="00513235"/>
    <w:rsid w:val="00514593"/>
    <w:rsid w:val="00517947"/>
    <w:rsid w:val="005227DF"/>
    <w:rsid w:val="0052363D"/>
    <w:rsid w:val="0052406B"/>
    <w:rsid w:val="005243D4"/>
    <w:rsid w:val="005254DD"/>
    <w:rsid w:val="00526BE1"/>
    <w:rsid w:val="00534571"/>
    <w:rsid w:val="00534D64"/>
    <w:rsid w:val="0053516E"/>
    <w:rsid w:val="00536DBA"/>
    <w:rsid w:val="0054245A"/>
    <w:rsid w:val="00547993"/>
    <w:rsid w:val="0055378C"/>
    <w:rsid w:val="00557816"/>
    <w:rsid w:val="005600EC"/>
    <w:rsid w:val="005602DA"/>
    <w:rsid w:val="00561A52"/>
    <w:rsid w:val="005640F6"/>
    <w:rsid w:val="005642D4"/>
    <w:rsid w:val="005646C9"/>
    <w:rsid w:val="0057228B"/>
    <w:rsid w:val="0057247E"/>
    <w:rsid w:val="0057260A"/>
    <w:rsid w:val="00573247"/>
    <w:rsid w:val="005821D3"/>
    <w:rsid w:val="00584E69"/>
    <w:rsid w:val="00585A4E"/>
    <w:rsid w:val="005903B4"/>
    <w:rsid w:val="0059479C"/>
    <w:rsid w:val="005A54B3"/>
    <w:rsid w:val="005B3444"/>
    <w:rsid w:val="005B5F17"/>
    <w:rsid w:val="005B6DC6"/>
    <w:rsid w:val="005B6E64"/>
    <w:rsid w:val="005C3DCB"/>
    <w:rsid w:val="005C5302"/>
    <w:rsid w:val="005D0460"/>
    <w:rsid w:val="005D2A49"/>
    <w:rsid w:val="005E4292"/>
    <w:rsid w:val="005E4CC2"/>
    <w:rsid w:val="005E5ED9"/>
    <w:rsid w:val="005F0F7E"/>
    <w:rsid w:val="005F135E"/>
    <w:rsid w:val="005F3BF5"/>
    <w:rsid w:val="005F6082"/>
    <w:rsid w:val="005F78E4"/>
    <w:rsid w:val="00600022"/>
    <w:rsid w:val="0060083E"/>
    <w:rsid w:val="006018E1"/>
    <w:rsid w:val="006029C8"/>
    <w:rsid w:val="00602D0D"/>
    <w:rsid w:val="00603957"/>
    <w:rsid w:val="006115A8"/>
    <w:rsid w:val="0061212C"/>
    <w:rsid w:val="00614EE4"/>
    <w:rsid w:val="00621594"/>
    <w:rsid w:val="00623EFF"/>
    <w:rsid w:val="006247FB"/>
    <w:rsid w:val="00627332"/>
    <w:rsid w:val="006275F6"/>
    <w:rsid w:val="00632425"/>
    <w:rsid w:val="0063431E"/>
    <w:rsid w:val="006365B5"/>
    <w:rsid w:val="00640878"/>
    <w:rsid w:val="006476FF"/>
    <w:rsid w:val="006535B4"/>
    <w:rsid w:val="006538F1"/>
    <w:rsid w:val="00657D88"/>
    <w:rsid w:val="00660A6F"/>
    <w:rsid w:val="00660F08"/>
    <w:rsid w:val="006725FF"/>
    <w:rsid w:val="00676FB1"/>
    <w:rsid w:val="006779BE"/>
    <w:rsid w:val="0068756A"/>
    <w:rsid w:val="0068782A"/>
    <w:rsid w:val="00690880"/>
    <w:rsid w:val="00692992"/>
    <w:rsid w:val="00697C9B"/>
    <w:rsid w:val="006A4AB0"/>
    <w:rsid w:val="006B354D"/>
    <w:rsid w:val="006B4B22"/>
    <w:rsid w:val="006B635F"/>
    <w:rsid w:val="006B7C0C"/>
    <w:rsid w:val="006C003C"/>
    <w:rsid w:val="006C2060"/>
    <w:rsid w:val="006C5C9A"/>
    <w:rsid w:val="006C7552"/>
    <w:rsid w:val="006D5E39"/>
    <w:rsid w:val="006D6124"/>
    <w:rsid w:val="006D7702"/>
    <w:rsid w:val="006E0469"/>
    <w:rsid w:val="006E0953"/>
    <w:rsid w:val="006E4B61"/>
    <w:rsid w:val="006E73E0"/>
    <w:rsid w:val="006E7F95"/>
    <w:rsid w:val="00711961"/>
    <w:rsid w:val="00713001"/>
    <w:rsid w:val="00713521"/>
    <w:rsid w:val="00717294"/>
    <w:rsid w:val="00724395"/>
    <w:rsid w:val="00724930"/>
    <w:rsid w:val="00724F32"/>
    <w:rsid w:val="00730DF8"/>
    <w:rsid w:val="00736000"/>
    <w:rsid w:val="007406F5"/>
    <w:rsid w:val="00744318"/>
    <w:rsid w:val="0075003D"/>
    <w:rsid w:val="00751D72"/>
    <w:rsid w:val="00752FA3"/>
    <w:rsid w:val="00753F52"/>
    <w:rsid w:val="00757C4A"/>
    <w:rsid w:val="00761BE3"/>
    <w:rsid w:val="0076384A"/>
    <w:rsid w:val="007644EE"/>
    <w:rsid w:val="00765808"/>
    <w:rsid w:val="00772C94"/>
    <w:rsid w:val="00780706"/>
    <w:rsid w:val="00790FCD"/>
    <w:rsid w:val="00795808"/>
    <w:rsid w:val="0079640E"/>
    <w:rsid w:val="00797C8A"/>
    <w:rsid w:val="007A0D2C"/>
    <w:rsid w:val="007A260E"/>
    <w:rsid w:val="007A2EF7"/>
    <w:rsid w:val="007A7644"/>
    <w:rsid w:val="007B36C1"/>
    <w:rsid w:val="007B74E9"/>
    <w:rsid w:val="007C071E"/>
    <w:rsid w:val="007C3F29"/>
    <w:rsid w:val="007C5072"/>
    <w:rsid w:val="007C7C8C"/>
    <w:rsid w:val="007D0890"/>
    <w:rsid w:val="007D18EB"/>
    <w:rsid w:val="007D38DE"/>
    <w:rsid w:val="007E21A6"/>
    <w:rsid w:val="007E6004"/>
    <w:rsid w:val="007E665C"/>
    <w:rsid w:val="007E7615"/>
    <w:rsid w:val="007F66F9"/>
    <w:rsid w:val="007F6B08"/>
    <w:rsid w:val="007F7255"/>
    <w:rsid w:val="00805322"/>
    <w:rsid w:val="0080581B"/>
    <w:rsid w:val="00807E0A"/>
    <w:rsid w:val="00811137"/>
    <w:rsid w:val="008145F4"/>
    <w:rsid w:val="00821EBD"/>
    <w:rsid w:val="00830426"/>
    <w:rsid w:val="00831EDB"/>
    <w:rsid w:val="00841FE6"/>
    <w:rsid w:val="0084222A"/>
    <w:rsid w:val="00842F9E"/>
    <w:rsid w:val="00845504"/>
    <w:rsid w:val="00846F56"/>
    <w:rsid w:val="00852C44"/>
    <w:rsid w:val="00864A55"/>
    <w:rsid w:val="00864CEE"/>
    <w:rsid w:val="00865177"/>
    <w:rsid w:val="008657A1"/>
    <w:rsid w:val="00866E11"/>
    <w:rsid w:val="00874310"/>
    <w:rsid w:val="00882024"/>
    <w:rsid w:val="008825EE"/>
    <w:rsid w:val="008828A3"/>
    <w:rsid w:val="00886F5B"/>
    <w:rsid w:val="00893243"/>
    <w:rsid w:val="00893F9A"/>
    <w:rsid w:val="00894290"/>
    <w:rsid w:val="00894960"/>
    <w:rsid w:val="00895FA1"/>
    <w:rsid w:val="00897B73"/>
    <w:rsid w:val="008A09E7"/>
    <w:rsid w:val="008A311B"/>
    <w:rsid w:val="008A426F"/>
    <w:rsid w:val="008A713D"/>
    <w:rsid w:val="008C08D3"/>
    <w:rsid w:val="008C1C9C"/>
    <w:rsid w:val="008C4CBE"/>
    <w:rsid w:val="008C5B2B"/>
    <w:rsid w:val="008C6030"/>
    <w:rsid w:val="008C6042"/>
    <w:rsid w:val="008D1374"/>
    <w:rsid w:val="008D2853"/>
    <w:rsid w:val="008D31A1"/>
    <w:rsid w:val="008D3D5E"/>
    <w:rsid w:val="008D7A31"/>
    <w:rsid w:val="008E4D0B"/>
    <w:rsid w:val="008F1EBA"/>
    <w:rsid w:val="00905541"/>
    <w:rsid w:val="00905F2D"/>
    <w:rsid w:val="00907ABF"/>
    <w:rsid w:val="009100D1"/>
    <w:rsid w:val="00915B1A"/>
    <w:rsid w:val="00920A95"/>
    <w:rsid w:val="00922918"/>
    <w:rsid w:val="00925525"/>
    <w:rsid w:val="00934356"/>
    <w:rsid w:val="00934951"/>
    <w:rsid w:val="00935E09"/>
    <w:rsid w:val="00937E6A"/>
    <w:rsid w:val="00942CAB"/>
    <w:rsid w:val="00947D8F"/>
    <w:rsid w:val="0095184A"/>
    <w:rsid w:val="009520A1"/>
    <w:rsid w:val="009537C5"/>
    <w:rsid w:val="00956F91"/>
    <w:rsid w:val="00957700"/>
    <w:rsid w:val="00960434"/>
    <w:rsid w:val="009654CA"/>
    <w:rsid w:val="0096684B"/>
    <w:rsid w:val="009708BC"/>
    <w:rsid w:val="00975E71"/>
    <w:rsid w:val="00985A3B"/>
    <w:rsid w:val="009943EF"/>
    <w:rsid w:val="009945B8"/>
    <w:rsid w:val="009A1FBC"/>
    <w:rsid w:val="009A2195"/>
    <w:rsid w:val="009B086F"/>
    <w:rsid w:val="009B6AE2"/>
    <w:rsid w:val="009B76D1"/>
    <w:rsid w:val="009C340A"/>
    <w:rsid w:val="009C450C"/>
    <w:rsid w:val="009D047F"/>
    <w:rsid w:val="009D0F07"/>
    <w:rsid w:val="009D2452"/>
    <w:rsid w:val="009D39A0"/>
    <w:rsid w:val="009D6CB5"/>
    <w:rsid w:val="009D6CC5"/>
    <w:rsid w:val="009E0B40"/>
    <w:rsid w:val="009E129E"/>
    <w:rsid w:val="009F1477"/>
    <w:rsid w:val="009F184B"/>
    <w:rsid w:val="009F1E40"/>
    <w:rsid w:val="00A02D20"/>
    <w:rsid w:val="00A03895"/>
    <w:rsid w:val="00A05435"/>
    <w:rsid w:val="00A07E2A"/>
    <w:rsid w:val="00A108E0"/>
    <w:rsid w:val="00A2417C"/>
    <w:rsid w:val="00A36EE3"/>
    <w:rsid w:val="00A37063"/>
    <w:rsid w:val="00A41B8D"/>
    <w:rsid w:val="00A45E9B"/>
    <w:rsid w:val="00A5110C"/>
    <w:rsid w:val="00A5145D"/>
    <w:rsid w:val="00A51E6D"/>
    <w:rsid w:val="00A52F20"/>
    <w:rsid w:val="00A5467A"/>
    <w:rsid w:val="00A57C72"/>
    <w:rsid w:val="00A60D11"/>
    <w:rsid w:val="00A658DE"/>
    <w:rsid w:val="00A67F76"/>
    <w:rsid w:val="00A70CA1"/>
    <w:rsid w:val="00A74395"/>
    <w:rsid w:val="00A8120E"/>
    <w:rsid w:val="00A82406"/>
    <w:rsid w:val="00A91021"/>
    <w:rsid w:val="00A9636E"/>
    <w:rsid w:val="00AA164F"/>
    <w:rsid w:val="00AA3733"/>
    <w:rsid w:val="00AA4B9D"/>
    <w:rsid w:val="00AA57F5"/>
    <w:rsid w:val="00AA78BA"/>
    <w:rsid w:val="00AB0D75"/>
    <w:rsid w:val="00AB2B87"/>
    <w:rsid w:val="00AB7065"/>
    <w:rsid w:val="00AC5278"/>
    <w:rsid w:val="00AD2BF8"/>
    <w:rsid w:val="00AD4460"/>
    <w:rsid w:val="00AD5780"/>
    <w:rsid w:val="00AD5BEC"/>
    <w:rsid w:val="00AE0545"/>
    <w:rsid w:val="00AE4F31"/>
    <w:rsid w:val="00AE6403"/>
    <w:rsid w:val="00AF085D"/>
    <w:rsid w:val="00AF2DE1"/>
    <w:rsid w:val="00AF32AD"/>
    <w:rsid w:val="00AF6960"/>
    <w:rsid w:val="00B01D91"/>
    <w:rsid w:val="00B059C7"/>
    <w:rsid w:val="00B07AD5"/>
    <w:rsid w:val="00B10763"/>
    <w:rsid w:val="00B10BDF"/>
    <w:rsid w:val="00B20521"/>
    <w:rsid w:val="00B209F9"/>
    <w:rsid w:val="00B20CE9"/>
    <w:rsid w:val="00B22890"/>
    <w:rsid w:val="00B258AC"/>
    <w:rsid w:val="00B3009D"/>
    <w:rsid w:val="00B323E2"/>
    <w:rsid w:val="00B36050"/>
    <w:rsid w:val="00B3695A"/>
    <w:rsid w:val="00B44BD9"/>
    <w:rsid w:val="00B5597A"/>
    <w:rsid w:val="00B55E13"/>
    <w:rsid w:val="00B61A4A"/>
    <w:rsid w:val="00B662B4"/>
    <w:rsid w:val="00B729B6"/>
    <w:rsid w:val="00B74011"/>
    <w:rsid w:val="00B74BF2"/>
    <w:rsid w:val="00B75DA1"/>
    <w:rsid w:val="00B76570"/>
    <w:rsid w:val="00B77ED6"/>
    <w:rsid w:val="00B8358B"/>
    <w:rsid w:val="00B83D66"/>
    <w:rsid w:val="00B85368"/>
    <w:rsid w:val="00B9184F"/>
    <w:rsid w:val="00B944EB"/>
    <w:rsid w:val="00BA0379"/>
    <w:rsid w:val="00BB3A6A"/>
    <w:rsid w:val="00BC2AA8"/>
    <w:rsid w:val="00BC5BC8"/>
    <w:rsid w:val="00BD4AE9"/>
    <w:rsid w:val="00BD6448"/>
    <w:rsid w:val="00BD65C7"/>
    <w:rsid w:val="00BD7596"/>
    <w:rsid w:val="00BD797D"/>
    <w:rsid w:val="00BE1C82"/>
    <w:rsid w:val="00BE3C09"/>
    <w:rsid w:val="00BE7B7D"/>
    <w:rsid w:val="00C0097E"/>
    <w:rsid w:val="00C02B7F"/>
    <w:rsid w:val="00C03253"/>
    <w:rsid w:val="00C05A0B"/>
    <w:rsid w:val="00C14448"/>
    <w:rsid w:val="00C15501"/>
    <w:rsid w:val="00C2373F"/>
    <w:rsid w:val="00C266DE"/>
    <w:rsid w:val="00C2695C"/>
    <w:rsid w:val="00C26B58"/>
    <w:rsid w:val="00C309A5"/>
    <w:rsid w:val="00C3285F"/>
    <w:rsid w:val="00C32873"/>
    <w:rsid w:val="00C32E35"/>
    <w:rsid w:val="00C35042"/>
    <w:rsid w:val="00C3557B"/>
    <w:rsid w:val="00C37EBF"/>
    <w:rsid w:val="00C42733"/>
    <w:rsid w:val="00C42A67"/>
    <w:rsid w:val="00C43DA6"/>
    <w:rsid w:val="00C47C21"/>
    <w:rsid w:val="00C50AFD"/>
    <w:rsid w:val="00C50D26"/>
    <w:rsid w:val="00C5135A"/>
    <w:rsid w:val="00C51965"/>
    <w:rsid w:val="00C53F92"/>
    <w:rsid w:val="00C61027"/>
    <w:rsid w:val="00C62F34"/>
    <w:rsid w:val="00C71564"/>
    <w:rsid w:val="00C729FB"/>
    <w:rsid w:val="00C738D8"/>
    <w:rsid w:val="00C746C1"/>
    <w:rsid w:val="00C75114"/>
    <w:rsid w:val="00C818FB"/>
    <w:rsid w:val="00C8381B"/>
    <w:rsid w:val="00C92238"/>
    <w:rsid w:val="00C93522"/>
    <w:rsid w:val="00C93E5F"/>
    <w:rsid w:val="00C94E5C"/>
    <w:rsid w:val="00C97DCD"/>
    <w:rsid w:val="00CA743E"/>
    <w:rsid w:val="00CB144A"/>
    <w:rsid w:val="00CB3801"/>
    <w:rsid w:val="00CB3DB3"/>
    <w:rsid w:val="00CB651F"/>
    <w:rsid w:val="00CC3968"/>
    <w:rsid w:val="00CC3D3A"/>
    <w:rsid w:val="00CD1495"/>
    <w:rsid w:val="00CD1D75"/>
    <w:rsid w:val="00CD2D9A"/>
    <w:rsid w:val="00CE30A2"/>
    <w:rsid w:val="00CE4471"/>
    <w:rsid w:val="00CE44D8"/>
    <w:rsid w:val="00CE5ED2"/>
    <w:rsid w:val="00CE7085"/>
    <w:rsid w:val="00CE7EF3"/>
    <w:rsid w:val="00CF1279"/>
    <w:rsid w:val="00CF4966"/>
    <w:rsid w:val="00D00023"/>
    <w:rsid w:val="00D05E73"/>
    <w:rsid w:val="00D22A72"/>
    <w:rsid w:val="00D23ED9"/>
    <w:rsid w:val="00D24798"/>
    <w:rsid w:val="00D2690E"/>
    <w:rsid w:val="00D31F34"/>
    <w:rsid w:val="00D506E3"/>
    <w:rsid w:val="00D52544"/>
    <w:rsid w:val="00D55034"/>
    <w:rsid w:val="00D60AD3"/>
    <w:rsid w:val="00D63042"/>
    <w:rsid w:val="00D647B3"/>
    <w:rsid w:val="00D67710"/>
    <w:rsid w:val="00D717A9"/>
    <w:rsid w:val="00D759C1"/>
    <w:rsid w:val="00D838C5"/>
    <w:rsid w:val="00D8459B"/>
    <w:rsid w:val="00D8752E"/>
    <w:rsid w:val="00D90395"/>
    <w:rsid w:val="00D91C7E"/>
    <w:rsid w:val="00D9520D"/>
    <w:rsid w:val="00D9650F"/>
    <w:rsid w:val="00DA154B"/>
    <w:rsid w:val="00DA482C"/>
    <w:rsid w:val="00DA6F3C"/>
    <w:rsid w:val="00DB065A"/>
    <w:rsid w:val="00DB235C"/>
    <w:rsid w:val="00DB550D"/>
    <w:rsid w:val="00DB5E74"/>
    <w:rsid w:val="00DC0C01"/>
    <w:rsid w:val="00DC0E2D"/>
    <w:rsid w:val="00DC1069"/>
    <w:rsid w:val="00DC29A2"/>
    <w:rsid w:val="00DC5E34"/>
    <w:rsid w:val="00DC7011"/>
    <w:rsid w:val="00DD1D10"/>
    <w:rsid w:val="00DD250B"/>
    <w:rsid w:val="00DD7765"/>
    <w:rsid w:val="00DE0F31"/>
    <w:rsid w:val="00DE2015"/>
    <w:rsid w:val="00DE4ABE"/>
    <w:rsid w:val="00DF194D"/>
    <w:rsid w:val="00DF5521"/>
    <w:rsid w:val="00DF70A8"/>
    <w:rsid w:val="00E0132C"/>
    <w:rsid w:val="00E016BC"/>
    <w:rsid w:val="00E03091"/>
    <w:rsid w:val="00E07EA9"/>
    <w:rsid w:val="00E11706"/>
    <w:rsid w:val="00E12629"/>
    <w:rsid w:val="00E1505E"/>
    <w:rsid w:val="00E150FD"/>
    <w:rsid w:val="00E15E7D"/>
    <w:rsid w:val="00E20D98"/>
    <w:rsid w:val="00E25CE0"/>
    <w:rsid w:val="00E27989"/>
    <w:rsid w:val="00E323C8"/>
    <w:rsid w:val="00E36CC7"/>
    <w:rsid w:val="00E36FC2"/>
    <w:rsid w:val="00E40109"/>
    <w:rsid w:val="00E409DF"/>
    <w:rsid w:val="00E41F0D"/>
    <w:rsid w:val="00E452D0"/>
    <w:rsid w:val="00E5187A"/>
    <w:rsid w:val="00E554D0"/>
    <w:rsid w:val="00E56579"/>
    <w:rsid w:val="00E647E7"/>
    <w:rsid w:val="00E6572B"/>
    <w:rsid w:val="00E66E58"/>
    <w:rsid w:val="00E73405"/>
    <w:rsid w:val="00E80045"/>
    <w:rsid w:val="00E81507"/>
    <w:rsid w:val="00E84C9B"/>
    <w:rsid w:val="00E93640"/>
    <w:rsid w:val="00E94364"/>
    <w:rsid w:val="00E95873"/>
    <w:rsid w:val="00E962B8"/>
    <w:rsid w:val="00EA5F49"/>
    <w:rsid w:val="00EA688E"/>
    <w:rsid w:val="00EB243D"/>
    <w:rsid w:val="00EB2672"/>
    <w:rsid w:val="00EC3ED0"/>
    <w:rsid w:val="00EC6E1E"/>
    <w:rsid w:val="00EC7410"/>
    <w:rsid w:val="00EC7D6D"/>
    <w:rsid w:val="00ED11D0"/>
    <w:rsid w:val="00EE2A3B"/>
    <w:rsid w:val="00EE4EDB"/>
    <w:rsid w:val="00EE502C"/>
    <w:rsid w:val="00EE713F"/>
    <w:rsid w:val="00EF082B"/>
    <w:rsid w:val="00EF0930"/>
    <w:rsid w:val="00EF3C58"/>
    <w:rsid w:val="00EF6A8A"/>
    <w:rsid w:val="00EF7A35"/>
    <w:rsid w:val="00F0432D"/>
    <w:rsid w:val="00F119FA"/>
    <w:rsid w:val="00F12C86"/>
    <w:rsid w:val="00F153CA"/>
    <w:rsid w:val="00F23A7F"/>
    <w:rsid w:val="00F23BBF"/>
    <w:rsid w:val="00F27BC6"/>
    <w:rsid w:val="00F31CA2"/>
    <w:rsid w:val="00F32B95"/>
    <w:rsid w:val="00F334ED"/>
    <w:rsid w:val="00F33ECA"/>
    <w:rsid w:val="00F350DA"/>
    <w:rsid w:val="00F37042"/>
    <w:rsid w:val="00F4393B"/>
    <w:rsid w:val="00F44811"/>
    <w:rsid w:val="00F45F1D"/>
    <w:rsid w:val="00F532C1"/>
    <w:rsid w:val="00F537F8"/>
    <w:rsid w:val="00F55264"/>
    <w:rsid w:val="00F60AE5"/>
    <w:rsid w:val="00F723C5"/>
    <w:rsid w:val="00F725C4"/>
    <w:rsid w:val="00F74653"/>
    <w:rsid w:val="00F7518F"/>
    <w:rsid w:val="00F75B66"/>
    <w:rsid w:val="00F76DDE"/>
    <w:rsid w:val="00F7712C"/>
    <w:rsid w:val="00F825D2"/>
    <w:rsid w:val="00F83207"/>
    <w:rsid w:val="00F90090"/>
    <w:rsid w:val="00FA5E23"/>
    <w:rsid w:val="00FA6B75"/>
    <w:rsid w:val="00FB0E28"/>
    <w:rsid w:val="00FB2A8A"/>
    <w:rsid w:val="00FB549F"/>
    <w:rsid w:val="00FB6C5E"/>
    <w:rsid w:val="00FC2B29"/>
    <w:rsid w:val="00FC6153"/>
    <w:rsid w:val="00FC6A2E"/>
    <w:rsid w:val="00FD13C7"/>
    <w:rsid w:val="00FD41A8"/>
    <w:rsid w:val="00FD5AEB"/>
    <w:rsid w:val="00FE25BC"/>
    <w:rsid w:val="00FE46ED"/>
    <w:rsid w:val="00FE6445"/>
    <w:rsid w:val="00FE650C"/>
    <w:rsid w:val="00FE75CC"/>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BD79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B267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B26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BD797D"/>
    <w:pPr>
      <w:keepLines/>
      <w:widowControl/>
      <w:tabs>
        <w:tab w:val="right" w:pos="9288"/>
      </w:tabs>
      <w:jc w:val="center"/>
    </w:pPr>
    <w:rPr>
      <w:caps/>
      <w:snapToGrid/>
    </w:rPr>
  </w:style>
  <w:style w:type="paragraph" w:styleId="TOC2">
    <w:name w:val="toc 2"/>
    <w:basedOn w:val="Normal"/>
    <w:next w:val="Normal"/>
    <w:autoRedefine/>
    <w:uiPriority w:val="39"/>
    <w:rsid w:val="0050259F"/>
    <w:pPr>
      <w:keepLines/>
      <w:widowControl/>
      <w:tabs>
        <w:tab w:val="left" w:pos="450"/>
        <w:tab w:val="right" w:leader="dot" w:pos="9288"/>
      </w:tabs>
      <w:ind w:left="720" w:right="720" w:hanging="720"/>
    </w:pPr>
    <w:rPr>
      <w:snapToGrid/>
    </w:rPr>
  </w:style>
  <w:style w:type="character" w:styleId="PageNumber">
    <w:name w:val="page numbe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 w:val="left" w:pos="5040"/>
        <w:tab w:val="left" w:pos="5760"/>
        <w:tab w:val="left" w:pos="6480"/>
        <w:tab w:val="left" w:pos="7200"/>
        <w:tab w:val="left" w:pos="7920"/>
        <w:tab w:val="left" w:pos="8640"/>
        <w:tab w:val="left" w:pos="9360"/>
      </w:tabs>
      <w:jc w:val="center"/>
    </w:pPr>
    <w:rPr>
      <w:rFonts w:ascii="Arial" w:hAnsi="Arial"/>
      <w:b/>
      <w:sz w:val="44"/>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Arial" w:hAnsi="Arial"/>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Arial" w:hAnsi="Arial"/>
      <w:sz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Arial" w:hAnsi="Arial"/>
      <w:i/>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A6F3C"/>
    <w:rPr>
      <w:rFonts w:ascii="Tahoma" w:hAnsi="Tahoma" w:cs="Tahoma"/>
      <w:sz w:val="16"/>
      <w:szCs w:val="16"/>
    </w:rPr>
  </w:style>
  <w:style w:type="character" w:styleId="Hyperlink">
    <w:name w:val="Hyperlink"/>
    <w:uiPriority w:val="99"/>
    <w:rsid w:val="004C4D1C"/>
    <w:rPr>
      <w:color w:val="0000FF"/>
      <w:u w:val="single"/>
    </w:rPr>
  </w:style>
  <w:style w:type="paragraph" w:customStyle="1" w:styleId="indentabc">
    <w:name w:val="indentabc"/>
    <w:basedOn w:val="Normal"/>
    <w:rsid w:val="000931B6"/>
    <w:pPr>
      <w:widowControl/>
      <w:ind w:left="720" w:right="360"/>
      <w:jc w:val="both"/>
    </w:pPr>
    <w:rPr>
      <w:rFonts w:ascii="Verdana" w:hAnsi="Verdana"/>
      <w:snapToGrid/>
      <w:sz w:val="20"/>
    </w:rPr>
  </w:style>
  <w:style w:type="paragraph" w:customStyle="1" w:styleId="IndentABC0">
    <w:name w:val="Indent ABC"/>
    <w:basedOn w:val="Normal"/>
    <w:rsid w:val="00497316"/>
    <w:pPr>
      <w:widowControl/>
      <w:ind w:left="720" w:right="360"/>
      <w:jc w:val="both"/>
    </w:pPr>
    <w:rPr>
      <w:rFonts w:ascii="Verdana" w:hAnsi="Verdana"/>
      <w:snapToGrid/>
      <w:sz w:val="20"/>
    </w:rPr>
  </w:style>
  <w:style w:type="paragraph" w:styleId="FootnoteText">
    <w:name w:val="footnote text"/>
    <w:basedOn w:val="Normal"/>
    <w:semiHidden/>
    <w:rsid w:val="00393683"/>
    <w:rPr>
      <w:sz w:val="20"/>
    </w:rPr>
  </w:style>
  <w:style w:type="paragraph" w:styleId="ListParagraph">
    <w:name w:val="List Paragraph"/>
    <w:basedOn w:val="Normal"/>
    <w:uiPriority w:val="34"/>
    <w:qFormat/>
    <w:rsid w:val="00B55E13"/>
    <w:pPr>
      <w:ind w:left="720"/>
    </w:pPr>
  </w:style>
  <w:style w:type="character" w:customStyle="1" w:styleId="Heading2Char">
    <w:name w:val="Heading 2 Char"/>
    <w:link w:val="Heading2"/>
    <w:rsid w:val="00EB2672"/>
    <w:rPr>
      <w:rFonts w:ascii="Cambria" w:eastAsia="Times New Roman" w:hAnsi="Cambria" w:cs="Times New Roman"/>
      <w:b/>
      <w:bCs/>
      <w:i/>
      <w:iCs/>
      <w:snapToGrid w:val="0"/>
      <w:sz w:val="28"/>
      <w:szCs w:val="28"/>
    </w:rPr>
  </w:style>
  <w:style w:type="character" w:customStyle="1" w:styleId="Heading3Char">
    <w:name w:val="Heading 3 Char"/>
    <w:link w:val="Heading3"/>
    <w:semiHidden/>
    <w:rsid w:val="00EB2672"/>
    <w:rPr>
      <w:rFonts w:ascii="Cambria" w:eastAsia="Times New Roman" w:hAnsi="Cambria" w:cs="Times New Roman"/>
      <w:b/>
      <w:bCs/>
      <w:snapToGrid w:val="0"/>
      <w:sz w:val="26"/>
      <w:szCs w:val="26"/>
    </w:rPr>
  </w:style>
  <w:style w:type="paragraph" w:styleId="TOC3">
    <w:name w:val="toc 3"/>
    <w:basedOn w:val="Normal"/>
    <w:next w:val="Normal"/>
    <w:autoRedefine/>
    <w:uiPriority w:val="39"/>
    <w:rsid w:val="00BD797D"/>
    <w:pPr>
      <w:keepLines/>
      <w:widowControl/>
      <w:tabs>
        <w:tab w:val="right" w:leader="dot" w:pos="9288"/>
      </w:tabs>
      <w:ind w:left="1440" w:right="720" w:hanging="720"/>
    </w:pPr>
    <w:rPr>
      <w:snapToGrid/>
    </w:rPr>
  </w:style>
  <w:style w:type="character" w:customStyle="1" w:styleId="Heading1Char">
    <w:name w:val="Heading 1 Char"/>
    <w:link w:val="Heading1"/>
    <w:rsid w:val="00BD797D"/>
    <w:rPr>
      <w:rFonts w:ascii="Cambria" w:eastAsia="Times New Roman" w:hAnsi="Cambria" w:cs="Times New Roman"/>
      <w:b/>
      <w:bCs/>
      <w:snapToGrid w:val="0"/>
      <w:kern w:val="32"/>
      <w:sz w:val="32"/>
      <w:szCs w:val="32"/>
    </w:rPr>
  </w:style>
  <w:style w:type="character" w:styleId="FollowedHyperlink">
    <w:name w:val="FollowedHyperlink"/>
    <w:rsid w:val="00E03091"/>
    <w:rPr>
      <w:color w:val="800080"/>
      <w:u w:val="single"/>
    </w:rPr>
  </w:style>
  <w:style w:type="paragraph" w:styleId="CommentSubject">
    <w:name w:val="annotation subject"/>
    <w:basedOn w:val="CommentText"/>
    <w:next w:val="CommentText"/>
    <w:link w:val="CommentSubjectChar"/>
    <w:rsid w:val="00EC7D6D"/>
    <w:rPr>
      <w:b/>
      <w:bCs/>
    </w:rPr>
  </w:style>
  <w:style w:type="character" w:customStyle="1" w:styleId="CommentTextChar">
    <w:name w:val="Comment Text Char"/>
    <w:link w:val="CommentText"/>
    <w:semiHidden/>
    <w:rsid w:val="00EC7D6D"/>
    <w:rPr>
      <w:snapToGrid w:val="0"/>
    </w:rPr>
  </w:style>
  <w:style w:type="character" w:customStyle="1" w:styleId="CommentSubjectChar">
    <w:name w:val="Comment Subject Char"/>
    <w:link w:val="CommentSubject"/>
    <w:rsid w:val="00EC7D6D"/>
    <w:rPr>
      <w:b/>
      <w:bCs/>
      <w:snapToGrid w:val="0"/>
    </w:rPr>
  </w:style>
  <w:style w:type="paragraph" w:customStyle="1" w:styleId="Style0">
    <w:name w:val="Style0"/>
    <w:rsid w:val="00526BE1"/>
    <w:pPr>
      <w:autoSpaceDE w:val="0"/>
      <w:autoSpaceDN w:val="0"/>
      <w:adjustRightInd w:val="0"/>
    </w:pPr>
    <w:rPr>
      <w:rFonts w:ascii="Arial" w:hAnsi="Arial"/>
      <w:sz w:val="24"/>
      <w:szCs w:val="24"/>
    </w:rPr>
  </w:style>
  <w:style w:type="character" w:customStyle="1" w:styleId="zzmpTrailerItem">
    <w:name w:val="zzmpTrailerItem"/>
    <w:rsid w:val="00E1505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raftStampText">
    <w:name w:val="Draft Stamp Text"/>
    <w:basedOn w:val="Normal"/>
    <w:rsid w:val="00D00023"/>
    <w:pPr>
      <w:widowControl/>
      <w:jc w:val="right"/>
    </w:pPr>
    <w:rPr>
      <w:rFonts w:cs="Arial"/>
      <w:bCs/>
      <w:caps/>
      <w:snapToGrid/>
      <w:szCs w:val="24"/>
    </w:rPr>
  </w:style>
  <w:style w:type="paragraph" w:customStyle="1" w:styleId="Default">
    <w:name w:val="Default"/>
    <w:basedOn w:val="Normal"/>
    <w:rsid w:val="004938D5"/>
    <w:pPr>
      <w:widowControl/>
      <w:autoSpaceDE w:val="0"/>
      <w:autoSpaceDN w:val="0"/>
    </w:pPr>
    <w:rPr>
      <w:rFonts w:eastAsia="Calibri"/>
      <w:snapToGrid/>
      <w:color w:val="000000"/>
      <w:szCs w:val="24"/>
    </w:rPr>
  </w:style>
  <w:style w:type="paragraph" w:styleId="TableofAuthorities">
    <w:name w:val="table of authorities"/>
    <w:basedOn w:val="Normal"/>
    <w:next w:val="Normal"/>
    <w:rsid w:val="00864A55"/>
    <w:pPr>
      <w:ind w:left="240" w:hanging="240"/>
    </w:pPr>
  </w:style>
  <w:style w:type="paragraph" w:styleId="TOC4">
    <w:name w:val="toc 4"/>
    <w:basedOn w:val="Normal"/>
    <w:next w:val="Normal"/>
    <w:autoRedefine/>
    <w:rsid w:val="00864A55"/>
    <w:pPr>
      <w:keepLines/>
      <w:widowControl/>
      <w:tabs>
        <w:tab w:val="right" w:leader="dot" w:pos="9288"/>
      </w:tabs>
      <w:ind w:left="2160" w:right="720" w:hanging="720"/>
    </w:pPr>
    <w:rPr>
      <w:snapToGrid/>
    </w:rPr>
  </w:style>
  <w:style w:type="paragraph" w:styleId="TOC5">
    <w:name w:val="toc 5"/>
    <w:basedOn w:val="Normal"/>
    <w:next w:val="Normal"/>
    <w:autoRedefine/>
    <w:rsid w:val="00864A55"/>
    <w:pPr>
      <w:keepLines/>
      <w:widowControl/>
      <w:tabs>
        <w:tab w:val="right" w:leader="dot" w:pos="9288"/>
      </w:tabs>
      <w:ind w:left="2880" w:right="720" w:hanging="720"/>
    </w:pPr>
    <w:rPr>
      <w:snapToGrid/>
    </w:rPr>
  </w:style>
  <w:style w:type="paragraph" w:styleId="TOC6">
    <w:name w:val="toc 6"/>
    <w:basedOn w:val="Normal"/>
    <w:next w:val="Normal"/>
    <w:autoRedefine/>
    <w:rsid w:val="00864A55"/>
    <w:pPr>
      <w:keepLines/>
      <w:widowControl/>
      <w:tabs>
        <w:tab w:val="right" w:leader="dot" w:pos="9288"/>
      </w:tabs>
      <w:ind w:left="3600" w:right="720" w:hanging="720"/>
    </w:pPr>
    <w:rPr>
      <w:snapToGrid/>
    </w:rPr>
  </w:style>
  <w:style w:type="paragraph" w:styleId="TOC7">
    <w:name w:val="toc 7"/>
    <w:basedOn w:val="Normal"/>
    <w:next w:val="Normal"/>
    <w:autoRedefine/>
    <w:rsid w:val="00864A55"/>
    <w:pPr>
      <w:keepLines/>
      <w:widowControl/>
      <w:tabs>
        <w:tab w:val="right" w:leader="dot" w:pos="9288"/>
      </w:tabs>
      <w:ind w:left="4320" w:right="720" w:hanging="720"/>
    </w:pPr>
    <w:rPr>
      <w:snapToGrid/>
    </w:rPr>
  </w:style>
  <w:style w:type="paragraph" w:styleId="TOC8">
    <w:name w:val="toc 8"/>
    <w:basedOn w:val="Normal"/>
    <w:next w:val="Normal"/>
    <w:autoRedefine/>
    <w:rsid w:val="00864A55"/>
    <w:pPr>
      <w:keepLines/>
      <w:widowControl/>
      <w:tabs>
        <w:tab w:val="right" w:leader="dot" w:pos="9288"/>
      </w:tabs>
      <w:ind w:left="5040" w:right="720" w:hanging="720"/>
    </w:pPr>
    <w:rPr>
      <w:snapToGrid/>
    </w:rPr>
  </w:style>
  <w:style w:type="paragraph" w:styleId="TOC9">
    <w:name w:val="toc 9"/>
    <w:basedOn w:val="Normal"/>
    <w:next w:val="Normal"/>
    <w:autoRedefine/>
    <w:rsid w:val="00864A55"/>
    <w:pPr>
      <w:keepLines/>
      <w:widowControl/>
      <w:tabs>
        <w:tab w:val="right" w:leader="dot" w:pos="9288"/>
      </w:tabs>
      <w:ind w:left="5760" w:right="720" w:hanging="720"/>
    </w:pPr>
    <w:rPr>
      <w:snapToGrid/>
    </w:rPr>
  </w:style>
  <w:style w:type="character" w:customStyle="1" w:styleId="DeltaViewInsertion">
    <w:name w:val="DeltaView Insertion"/>
    <w:uiPriority w:val="99"/>
    <w:rsid w:val="005B6DC6"/>
    <w:rPr>
      <w:color w:val="0000FF"/>
      <w:u w:val="double"/>
    </w:rPr>
  </w:style>
  <w:style w:type="character" w:customStyle="1" w:styleId="DeltaViewDeletion">
    <w:name w:val="DeltaView Deletion"/>
    <w:uiPriority w:val="99"/>
    <w:rsid w:val="005B6DC6"/>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BD79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B267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B26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BD797D"/>
    <w:pPr>
      <w:keepLines/>
      <w:widowControl/>
      <w:tabs>
        <w:tab w:val="right" w:pos="9288"/>
      </w:tabs>
      <w:jc w:val="center"/>
    </w:pPr>
    <w:rPr>
      <w:caps/>
      <w:snapToGrid/>
    </w:rPr>
  </w:style>
  <w:style w:type="paragraph" w:styleId="TOC2">
    <w:name w:val="toc 2"/>
    <w:basedOn w:val="Normal"/>
    <w:next w:val="Normal"/>
    <w:autoRedefine/>
    <w:uiPriority w:val="39"/>
    <w:rsid w:val="0050259F"/>
    <w:pPr>
      <w:keepLines/>
      <w:widowControl/>
      <w:tabs>
        <w:tab w:val="left" w:pos="450"/>
        <w:tab w:val="right" w:leader="dot" w:pos="9288"/>
      </w:tabs>
      <w:ind w:left="720" w:right="720" w:hanging="720"/>
    </w:pPr>
    <w:rPr>
      <w:snapToGrid/>
    </w:rPr>
  </w:style>
  <w:style w:type="character" w:styleId="PageNumber">
    <w:name w:val="page numbe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 w:val="left" w:pos="5040"/>
        <w:tab w:val="left" w:pos="5760"/>
        <w:tab w:val="left" w:pos="6480"/>
        <w:tab w:val="left" w:pos="7200"/>
        <w:tab w:val="left" w:pos="7920"/>
        <w:tab w:val="left" w:pos="8640"/>
        <w:tab w:val="left" w:pos="9360"/>
      </w:tabs>
      <w:jc w:val="center"/>
    </w:pPr>
    <w:rPr>
      <w:rFonts w:ascii="Arial" w:hAnsi="Arial"/>
      <w:b/>
      <w:sz w:val="44"/>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Arial" w:hAnsi="Arial"/>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Arial" w:hAnsi="Arial"/>
      <w:sz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Arial" w:hAnsi="Arial"/>
      <w:i/>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A6F3C"/>
    <w:rPr>
      <w:rFonts w:ascii="Tahoma" w:hAnsi="Tahoma" w:cs="Tahoma"/>
      <w:sz w:val="16"/>
      <w:szCs w:val="16"/>
    </w:rPr>
  </w:style>
  <w:style w:type="character" w:styleId="Hyperlink">
    <w:name w:val="Hyperlink"/>
    <w:uiPriority w:val="99"/>
    <w:rsid w:val="004C4D1C"/>
    <w:rPr>
      <w:color w:val="0000FF"/>
      <w:u w:val="single"/>
    </w:rPr>
  </w:style>
  <w:style w:type="paragraph" w:customStyle="1" w:styleId="indentabc">
    <w:name w:val="indentabc"/>
    <w:basedOn w:val="Normal"/>
    <w:rsid w:val="000931B6"/>
    <w:pPr>
      <w:widowControl/>
      <w:ind w:left="720" w:right="360"/>
      <w:jc w:val="both"/>
    </w:pPr>
    <w:rPr>
      <w:rFonts w:ascii="Verdana" w:hAnsi="Verdana"/>
      <w:snapToGrid/>
      <w:sz w:val="20"/>
    </w:rPr>
  </w:style>
  <w:style w:type="paragraph" w:customStyle="1" w:styleId="IndentABC0">
    <w:name w:val="Indent ABC"/>
    <w:basedOn w:val="Normal"/>
    <w:rsid w:val="00497316"/>
    <w:pPr>
      <w:widowControl/>
      <w:ind w:left="720" w:right="360"/>
      <w:jc w:val="both"/>
    </w:pPr>
    <w:rPr>
      <w:rFonts w:ascii="Verdana" w:hAnsi="Verdana"/>
      <w:snapToGrid/>
      <w:sz w:val="20"/>
    </w:rPr>
  </w:style>
  <w:style w:type="paragraph" w:styleId="FootnoteText">
    <w:name w:val="footnote text"/>
    <w:basedOn w:val="Normal"/>
    <w:semiHidden/>
    <w:rsid w:val="00393683"/>
    <w:rPr>
      <w:sz w:val="20"/>
    </w:rPr>
  </w:style>
  <w:style w:type="paragraph" w:styleId="ListParagraph">
    <w:name w:val="List Paragraph"/>
    <w:basedOn w:val="Normal"/>
    <w:uiPriority w:val="34"/>
    <w:qFormat/>
    <w:rsid w:val="00B55E13"/>
    <w:pPr>
      <w:ind w:left="720"/>
    </w:pPr>
  </w:style>
  <w:style w:type="character" w:customStyle="1" w:styleId="Heading2Char">
    <w:name w:val="Heading 2 Char"/>
    <w:link w:val="Heading2"/>
    <w:rsid w:val="00EB2672"/>
    <w:rPr>
      <w:rFonts w:ascii="Cambria" w:eastAsia="Times New Roman" w:hAnsi="Cambria" w:cs="Times New Roman"/>
      <w:b/>
      <w:bCs/>
      <w:i/>
      <w:iCs/>
      <w:snapToGrid w:val="0"/>
      <w:sz w:val="28"/>
      <w:szCs w:val="28"/>
    </w:rPr>
  </w:style>
  <w:style w:type="character" w:customStyle="1" w:styleId="Heading3Char">
    <w:name w:val="Heading 3 Char"/>
    <w:link w:val="Heading3"/>
    <w:semiHidden/>
    <w:rsid w:val="00EB2672"/>
    <w:rPr>
      <w:rFonts w:ascii="Cambria" w:eastAsia="Times New Roman" w:hAnsi="Cambria" w:cs="Times New Roman"/>
      <w:b/>
      <w:bCs/>
      <w:snapToGrid w:val="0"/>
      <w:sz w:val="26"/>
      <w:szCs w:val="26"/>
    </w:rPr>
  </w:style>
  <w:style w:type="paragraph" w:styleId="TOC3">
    <w:name w:val="toc 3"/>
    <w:basedOn w:val="Normal"/>
    <w:next w:val="Normal"/>
    <w:autoRedefine/>
    <w:uiPriority w:val="39"/>
    <w:rsid w:val="00BD797D"/>
    <w:pPr>
      <w:keepLines/>
      <w:widowControl/>
      <w:tabs>
        <w:tab w:val="right" w:leader="dot" w:pos="9288"/>
      </w:tabs>
      <w:ind w:left="1440" w:right="720" w:hanging="720"/>
    </w:pPr>
    <w:rPr>
      <w:snapToGrid/>
    </w:rPr>
  </w:style>
  <w:style w:type="character" w:customStyle="1" w:styleId="Heading1Char">
    <w:name w:val="Heading 1 Char"/>
    <w:link w:val="Heading1"/>
    <w:rsid w:val="00BD797D"/>
    <w:rPr>
      <w:rFonts w:ascii="Cambria" w:eastAsia="Times New Roman" w:hAnsi="Cambria" w:cs="Times New Roman"/>
      <w:b/>
      <w:bCs/>
      <w:snapToGrid w:val="0"/>
      <w:kern w:val="32"/>
      <w:sz w:val="32"/>
      <w:szCs w:val="32"/>
    </w:rPr>
  </w:style>
  <w:style w:type="character" w:styleId="FollowedHyperlink">
    <w:name w:val="FollowedHyperlink"/>
    <w:rsid w:val="00E03091"/>
    <w:rPr>
      <w:color w:val="800080"/>
      <w:u w:val="single"/>
    </w:rPr>
  </w:style>
  <w:style w:type="paragraph" w:styleId="CommentSubject">
    <w:name w:val="annotation subject"/>
    <w:basedOn w:val="CommentText"/>
    <w:next w:val="CommentText"/>
    <w:link w:val="CommentSubjectChar"/>
    <w:rsid w:val="00EC7D6D"/>
    <w:rPr>
      <w:b/>
      <w:bCs/>
    </w:rPr>
  </w:style>
  <w:style w:type="character" w:customStyle="1" w:styleId="CommentTextChar">
    <w:name w:val="Comment Text Char"/>
    <w:link w:val="CommentText"/>
    <w:semiHidden/>
    <w:rsid w:val="00EC7D6D"/>
    <w:rPr>
      <w:snapToGrid w:val="0"/>
    </w:rPr>
  </w:style>
  <w:style w:type="character" w:customStyle="1" w:styleId="CommentSubjectChar">
    <w:name w:val="Comment Subject Char"/>
    <w:link w:val="CommentSubject"/>
    <w:rsid w:val="00EC7D6D"/>
    <w:rPr>
      <w:b/>
      <w:bCs/>
      <w:snapToGrid w:val="0"/>
    </w:rPr>
  </w:style>
  <w:style w:type="paragraph" w:customStyle="1" w:styleId="Style0">
    <w:name w:val="Style0"/>
    <w:rsid w:val="00526BE1"/>
    <w:pPr>
      <w:autoSpaceDE w:val="0"/>
      <w:autoSpaceDN w:val="0"/>
      <w:adjustRightInd w:val="0"/>
    </w:pPr>
    <w:rPr>
      <w:rFonts w:ascii="Arial" w:hAnsi="Arial"/>
      <w:sz w:val="24"/>
      <w:szCs w:val="24"/>
    </w:rPr>
  </w:style>
  <w:style w:type="character" w:customStyle="1" w:styleId="zzmpTrailerItem">
    <w:name w:val="zzmpTrailerItem"/>
    <w:rsid w:val="00E1505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raftStampText">
    <w:name w:val="Draft Stamp Text"/>
    <w:basedOn w:val="Normal"/>
    <w:rsid w:val="00D00023"/>
    <w:pPr>
      <w:widowControl/>
      <w:jc w:val="right"/>
    </w:pPr>
    <w:rPr>
      <w:rFonts w:cs="Arial"/>
      <w:bCs/>
      <w:caps/>
      <w:snapToGrid/>
      <w:szCs w:val="24"/>
    </w:rPr>
  </w:style>
  <w:style w:type="paragraph" w:customStyle="1" w:styleId="Default">
    <w:name w:val="Default"/>
    <w:basedOn w:val="Normal"/>
    <w:rsid w:val="004938D5"/>
    <w:pPr>
      <w:widowControl/>
      <w:autoSpaceDE w:val="0"/>
      <w:autoSpaceDN w:val="0"/>
    </w:pPr>
    <w:rPr>
      <w:rFonts w:eastAsia="Calibri"/>
      <w:snapToGrid/>
      <w:color w:val="000000"/>
      <w:szCs w:val="24"/>
    </w:rPr>
  </w:style>
  <w:style w:type="paragraph" w:styleId="TableofAuthorities">
    <w:name w:val="table of authorities"/>
    <w:basedOn w:val="Normal"/>
    <w:next w:val="Normal"/>
    <w:rsid w:val="00864A55"/>
    <w:pPr>
      <w:ind w:left="240" w:hanging="240"/>
    </w:pPr>
  </w:style>
  <w:style w:type="paragraph" w:styleId="TOC4">
    <w:name w:val="toc 4"/>
    <w:basedOn w:val="Normal"/>
    <w:next w:val="Normal"/>
    <w:autoRedefine/>
    <w:rsid w:val="00864A55"/>
    <w:pPr>
      <w:keepLines/>
      <w:widowControl/>
      <w:tabs>
        <w:tab w:val="right" w:leader="dot" w:pos="9288"/>
      </w:tabs>
      <w:ind w:left="2160" w:right="720" w:hanging="720"/>
    </w:pPr>
    <w:rPr>
      <w:snapToGrid/>
    </w:rPr>
  </w:style>
  <w:style w:type="paragraph" w:styleId="TOC5">
    <w:name w:val="toc 5"/>
    <w:basedOn w:val="Normal"/>
    <w:next w:val="Normal"/>
    <w:autoRedefine/>
    <w:rsid w:val="00864A55"/>
    <w:pPr>
      <w:keepLines/>
      <w:widowControl/>
      <w:tabs>
        <w:tab w:val="right" w:leader="dot" w:pos="9288"/>
      </w:tabs>
      <w:ind w:left="2880" w:right="720" w:hanging="720"/>
    </w:pPr>
    <w:rPr>
      <w:snapToGrid/>
    </w:rPr>
  </w:style>
  <w:style w:type="paragraph" w:styleId="TOC6">
    <w:name w:val="toc 6"/>
    <w:basedOn w:val="Normal"/>
    <w:next w:val="Normal"/>
    <w:autoRedefine/>
    <w:rsid w:val="00864A55"/>
    <w:pPr>
      <w:keepLines/>
      <w:widowControl/>
      <w:tabs>
        <w:tab w:val="right" w:leader="dot" w:pos="9288"/>
      </w:tabs>
      <w:ind w:left="3600" w:right="720" w:hanging="720"/>
    </w:pPr>
    <w:rPr>
      <w:snapToGrid/>
    </w:rPr>
  </w:style>
  <w:style w:type="paragraph" w:styleId="TOC7">
    <w:name w:val="toc 7"/>
    <w:basedOn w:val="Normal"/>
    <w:next w:val="Normal"/>
    <w:autoRedefine/>
    <w:rsid w:val="00864A55"/>
    <w:pPr>
      <w:keepLines/>
      <w:widowControl/>
      <w:tabs>
        <w:tab w:val="right" w:leader="dot" w:pos="9288"/>
      </w:tabs>
      <w:ind w:left="4320" w:right="720" w:hanging="720"/>
    </w:pPr>
    <w:rPr>
      <w:snapToGrid/>
    </w:rPr>
  </w:style>
  <w:style w:type="paragraph" w:styleId="TOC8">
    <w:name w:val="toc 8"/>
    <w:basedOn w:val="Normal"/>
    <w:next w:val="Normal"/>
    <w:autoRedefine/>
    <w:rsid w:val="00864A55"/>
    <w:pPr>
      <w:keepLines/>
      <w:widowControl/>
      <w:tabs>
        <w:tab w:val="right" w:leader="dot" w:pos="9288"/>
      </w:tabs>
      <w:ind w:left="5040" w:right="720" w:hanging="720"/>
    </w:pPr>
    <w:rPr>
      <w:snapToGrid/>
    </w:rPr>
  </w:style>
  <w:style w:type="paragraph" w:styleId="TOC9">
    <w:name w:val="toc 9"/>
    <w:basedOn w:val="Normal"/>
    <w:next w:val="Normal"/>
    <w:autoRedefine/>
    <w:rsid w:val="00864A55"/>
    <w:pPr>
      <w:keepLines/>
      <w:widowControl/>
      <w:tabs>
        <w:tab w:val="right" w:leader="dot" w:pos="9288"/>
      </w:tabs>
      <w:ind w:left="5760" w:right="720" w:hanging="720"/>
    </w:pPr>
    <w:rPr>
      <w:snapToGrid/>
    </w:rPr>
  </w:style>
  <w:style w:type="character" w:customStyle="1" w:styleId="DeltaViewInsertion">
    <w:name w:val="DeltaView Insertion"/>
    <w:uiPriority w:val="99"/>
    <w:rsid w:val="005B6DC6"/>
    <w:rPr>
      <w:color w:val="0000FF"/>
      <w:u w:val="double"/>
    </w:rPr>
  </w:style>
  <w:style w:type="character" w:customStyle="1" w:styleId="DeltaViewDeletion">
    <w:name w:val="DeltaView Deletion"/>
    <w:uiPriority w:val="99"/>
    <w:rsid w:val="005B6DC6"/>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696">
      <w:bodyDiv w:val="1"/>
      <w:marLeft w:val="0"/>
      <w:marRight w:val="0"/>
      <w:marTop w:val="0"/>
      <w:marBottom w:val="0"/>
      <w:divBdr>
        <w:top w:val="none" w:sz="0" w:space="0" w:color="auto"/>
        <w:left w:val="none" w:sz="0" w:space="0" w:color="auto"/>
        <w:bottom w:val="none" w:sz="0" w:space="0" w:color="auto"/>
        <w:right w:val="none" w:sz="0" w:space="0" w:color="auto"/>
      </w:divBdr>
    </w:div>
    <w:div w:id="220946652">
      <w:bodyDiv w:val="1"/>
      <w:marLeft w:val="0"/>
      <w:marRight w:val="0"/>
      <w:marTop w:val="0"/>
      <w:marBottom w:val="0"/>
      <w:divBdr>
        <w:top w:val="none" w:sz="0" w:space="0" w:color="auto"/>
        <w:left w:val="none" w:sz="0" w:space="0" w:color="auto"/>
        <w:bottom w:val="none" w:sz="0" w:space="0" w:color="auto"/>
        <w:right w:val="none" w:sz="0" w:space="0" w:color="auto"/>
      </w:divBdr>
    </w:div>
    <w:div w:id="249855106">
      <w:bodyDiv w:val="1"/>
      <w:marLeft w:val="0"/>
      <w:marRight w:val="0"/>
      <w:marTop w:val="0"/>
      <w:marBottom w:val="0"/>
      <w:divBdr>
        <w:top w:val="none" w:sz="0" w:space="0" w:color="auto"/>
        <w:left w:val="none" w:sz="0" w:space="0" w:color="auto"/>
        <w:bottom w:val="none" w:sz="0" w:space="0" w:color="auto"/>
        <w:right w:val="none" w:sz="0" w:space="0" w:color="auto"/>
      </w:divBdr>
    </w:div>
    <w:div w:id="337083625">
      <w:bodyDiv w:val="1"/>
      <w:marLeft w:val="0"/>
      <w:marRight w:val="0"/>
      <w:marTop w:val="0"/>
      <w:marBottom w:val="0"/>
      <w:divBdr>
        <w:top w:val="none" w:sz="0" w:space="0" w:color="auto"/>
        <w:left w:val="none" w:sz="0" w:space="0" w:color="auto"/>
        <w:bottom w:val="none" w:sz="0" w:space="0" w:color="auto"/>
        <w:right w:val="none" w:sz="0" w:space="0" w:color="auto"/>
      </w:divBdr>
    </w:div>
    <w:div w:id="507210204">
      <w:bodyDiv w:val="1"/>
      <w:marLeft w:val="0"/>
      <w:marRight w:val="0"/>
      <w:marTop w:val="0"/>
      <w:marBottom w:val="0"/>
      <w:divBdr>
        <w:top w:val="none" w:sz="0" w:space="0" w:color="auto"/>
        <w:left w:val="none" w:sz="0" w:space="0" w:color="auto"/>
        <w:bottom w:val="none" w:sz="0" w:space="0" w:color="auto"/>
        <w:right w:val="none" w:sz="0" w:space="0" w:color="auto"/>
      </w:divBdr>
    </w:div>
    <w:div w:id="990862148">
      <w:bodyDiv w:val="1"/>
      <w:marLeft w:val="0"/>
      <w:marRight w:val="0"/>
      <w:marTop w:val="0"/>
      <w:marBottom w:val="0"/>
      <w:divBdr>
        <w:top w:val="none" w:sz="0" w:space="0" w:color="auto"/>
        <w:left w:val="none" w:sz="0" w:space="0" w:color="auto"/>
        <w:bottom w:val="none" w:sz="0" w:space="0" w:color="auto"/>
        <w:right w:val="none" w:sz="0" w:space="0" w:color="auto"/>
      </w:divBdr>
    </w:div>
    <w:div w:id="1143934342">
      <w:bodyDiv w:val="1"/>
      <w:marLeft w:val="0"/>
      <w:marRight w:val="0"/>
      <w:marTop w:val="0"/>
      <w:marBottom w:val="0"/>
      <w:divBdr>
        <w:top w:val="none" w:sz="0" w:space="0" w:color="auto"/>
        <w:left w:val="none" w:sz="0" w:space="0" w:color="auto"/>
        <w:bottom w:val="none" w:sz="0" w:space="0" w:color="auto"/>
        <w:right w:val="none" w:sz="0" w:space="0" w:color="auto"/>
      </w:divBdr>
    </w:div>
    <w:div w:id="1169442618">
      <w:bodyDiv w:val="1"/>
      <w:marLeft w:val="0"/>
      <w:marRight w:val="0"/>
      <w:marTop w:val="0"/>
      <w:marBottom w:val="0"/>
      <w:divBdr>
        <w:top w:val="none" w:sz="0" w:space="0" w:color="auto"/>
        <w:left w:val="none" w:sz="0" w:space="0" w:color="auto"/>
        <w:bottom w:val="none" w:sz="0" w:space="0" w:color="auto"/>
        <w:right w:val="none" w:sz="0" w:space="0" w:color="auto"/>
      </w:divBdr>
    </w:div>
    <w:div w:id="1280717508">
      <w:bodyDiv w:val="1"/>
      <w:marLeft w:val="0"/>
      <w:marRight w:val="0"/>
      <w:marTop w:val="0"/>
      <w:marBottom w:val="0"/>
      <w:divBdr>
        <w:top w:val="none" w:sz="0" w:space="0" w:color="auto"/>
        <w:left w:val="none" w:sz="0" w:space="0" w:color="auto"/>
        <w:bottom w:val="none" w:sz="0" w:space="0" w:color="auto"/>
        <w:right w:val="none" w:sz="0" w:space="0" w:color="auto"/>
      </w:divBdr>
    </w:div>
    <w:div w:id="1372808367">
      <w:bodyDiv w:val="1"/>
      <w:marLeft w:val="0"/>
      <w:marRight w:val="0"/>
      <w:marTop w:val="0"/>
      <w:marBottom w:val="0"/>
      <w:divBdr>
        <w:top w:val="none" w:sz="0" w:space="0" w:color="auto"/>
        <w:left w:val="none" w:sz="0" w:space="0" w:color="auto"/>
        <w:bottom w:val="none" w:sz="0" w:space="0" w:color="auto"/>
        <w:right w:val="none" w:sz="0" w:space="0" w:color="auto"/>
      </w:divBdr>
    </w:div>
    <w:div w:id="1379936452">
      <w:bodyDiv w:val="1"/>
      <w:marLeft w:val="0"/>
      <w:marRight w:val="0"/>
      <w:marTop w:val="0"/>
      <w:marBottom w:val="0"/>
      <w:divBdr>
        <w:top w:val="none" w:sz="0" w:space="0" w:color="auto"/>
        <w:left w:val="none" w:sz="0" w:space="0" w:color="auto"/>
        <w:bottom w:val="none" w:sz="0" w:space="0" w:color="auto"/>
        <w:right w:val="none" w:sz="0" w:space="0" w:color="auto"/>
      </w:divBdr>
    </w:div>
    <w:div w:id="1590306544">
      <w:bodyDiv w:val="1"/>
      <w:marLeft w:val="0"/>
      <w:marRight w:val="0"/>
      <w:marTop w:val="0"/>
      <w:marBottom w:val="0"/>
      <w:divBdr>
        <w:top w:val="none" w:sz="0" w:space="0" w:color="auto"/>
        <w:left w:val="none" w:sz="0" w:space="0" w:color="auto"/>
        <w:bottom w:val="none" w:sz="0" w:space="0" w:color="auto"/>
        <w:right w:val="none" w:sz="0" w:space="0" w:color="auto"/>
      </w:divBdr>
    </w:div>
    <w:div w:id="1648583054">
      <w:bodyDiv w:val="1"/>
      <w:marLeft w:val="0"/>
      <w:marRight w:val="0"/>
      <w:marTop w:val="0"/>
      <w:marBottom w:val="0"/>
      <w:divBdr>
        <w:top w:val="none" w:sz="0" w:space="0" w:color="auto"/>
        <w:left w:val="none" w:sz="0" w:space="0" w:color="auto"/>
        <w:bottom w:val="none" w:sz="0" w:space="0" w:color="auto"/>
        <w:right w:val="none" w:sz="0" w:space="0" w:color="auto"/>
      </w:divBdr>
    </w:div>
    <w:div w:id="1735929677">
      <w:bodyDiv w:val="1"/>
      <w:marLeft w:val="0"/>
      <w:marRight w:val="0"/>
      <w:marTop w:val="0"/>
      <w:marBottom w:val="0"/>
      <w:divBdr>
        <w:top w:val="none" w:sz="0" w:space="0" w:color="auto"/>
        <w:left w:val="none" w:sz="0" w:space="0" w:color="auto"/>
        <w:bottom w:val="none" w:sz="0" w:space="0" w:color="auto"/>
        <w:right w:val="none" w:sz="0" w:space="0" w:color="auto"/>
      </w:divBdr>
    </w:div>
    <w:div w:id="1939437586">
      <w:bodyDiv w:val="1"/>
      <w:marLeft w:val="0"/>
      <w:marRight w:val="0"/>
      <w:marTop w:val="0"/>
      <w:marBottom w:val="0"/>
      <w:divBdr>
        <w:top w:val="none" w:sz="0" w:space="0" w:color="auto"/>
        <w:left w:val="none" w:sz="0" w:space="0" w:color="auto"/>
        <w:bottom w:val="none" w:sz="0" w:space="0" w:color="auto"/>
        <w:right w:val="none" w:sz="0" w:space="0" w:color="auto"/>
      </w:divBdr>
    </w:div>
    <w:div w:id="1988433882">
      <w:bodyDiv w:val="1"/>
      <w:marLeft w:val="0"/>
      <w:marRight w:val="0"/>
      <w:marTop w:val="0"/>
      <w:marBottom w:val="0"/>
      <w:divBdr>
        <w:top w:val="none" w:sz="0" w:space="0" w:color="auto"/>
        <w:left w:val="none" w:sz="0" w:space="0" w:color="auto"/>
        <w:bottom w:val="none" w:sz="0" w:space="0" w:color="auto"/>
        <w:right w:val="none" w:sz="0" w:space="0" w:color="auto"/>
      </w:divBdr>
      <w:divsChild>
        <w:div w:id="1791625837">
          <w:marLeft w:val="0"/>
          <w:marRight w:val="0"/>
          <w:marTop w:val="0"/>
          <w:marBottom w:val="0"/>
          <w:divBdr>
            <w:top w:val="none" w:sz="0" w:space="0" w:color="auto"/>
            <w:left w:val="none" w:sz="0" w:space="0" w:color="auto"/>
            <w:bottom w:val="none" w:sz="0" w:space="0" w:color="auto"/>
            <w:right w:val="none" w:sz="0" w:space="0" w:color="auto"/>
          </w:divBdr>
        </w:div>
      </w:divsChild>
    </w:div>
    <w:div w:id="20944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44F3-1906-4BE8-9EB3-05016A39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15448</Words>
  <Characters>88059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MCDA</Company>
  <LinksUpToDate>false</LinksUpToDate>
  <CharactersWithSpaces>103301</CharactersWithSpaces>
  <SharedDoc>false</SharedDoc>
  <HLinks>
    <vt:vector size="426" baseType="variant">
      <vt:variant>
        <vt:i4>1376259</vt:i4>
      </vt:variant>
      <vt:variant>
        <vt:i4>420</vt:i4>
      </vt:variant>
      <vt:variant>
        <vt:i4>0</vt:i4>
      </vt:variant>
      <vt:variant>
        <vt:i4>5</vt:i4>
      </vt:variant>
      <vt:variant>
        <vt:lpwstr>http://www.ahcinc.net/files/02-02-16 SPHRA 2016 Compliance Manual.pdf</vt:lpwstr>
      </vt:variant>
      <vt:variant>
        <vt:lpwstr/>
      </vt:variant>
      <vt:variant>
        <vt:i4>1441799</vt:i4>
      </vt:variant>
      <vt:variant>
        <vt:i4>417</vt:i4>
      </vt:variant>
      <vt:variant>
        <vt:i4>0</vt:i4>
      </vt:variant>
      <vt:variant>
        <vt:i4>5</vt:i4>
      </vt:variant>
      <vt:variant>
        <vt:lpwstr>http://www.ahcinc.net/files/02-02-16 MCPED 2016 Compliance Manual.pdf</vt:lpwstr>
      </vt:variant>
      <vt:variant>
        <vt:lpwstr/>
      </vt:variant>
      <vt:variant>
        <vt:i4>1114167</vt:i4>
      </vt:variant>
      <vt:variant>
        <vt:i4>410</vt:i4>
      </vt:variant>
      <vt:variant>
        <vt:i4>0</vt:i4>
      </vt:variant>
      <vt:variant>
        <vt:i4>5</vt:i4>
      </vt:variant>
      <vt:variant>
        <vt:lpwstr/>
      </vt:variant>
      <vt:variant>
        <vt:lpwstr>_Toc421012365</vt:lpwstr>
      </vt:variant>
      <vt:variant>
        <vt:i4>1114167</vt:i4>
      </vt:variant>
      <vt:variant>
        <vt:i4>404</vt:i4>
      </vt:variant>
      <vt:variant>
        <vt:i4>0</vt:i4>
      </vt:variant>
      <vt:variant>
        <vt:i4>5</vt:i4>
      </vt:variant>
      <vt:variant>
        <vt:lpwstr/>
      </vt:variant>
      <vt:variant>
        <vt:lpwstr>_Toc421012364</vt:lpwstr>
      </vt:variant>
      <vt:variant>
        <vt:i4>1114167</vt:i4>
      </vt:variant>
      <vt:variant>
        <vt:i4>398</vt:i4>
      </vt:variant>
      <vt:variant>
        <vt:i4>0</vt:i4>
      </vt:variant>
      <vt:variant>
        <vt:i4>5</vt:i4>
      </vt:variant>
      <vt:variant>
        <vt:lpwstr/>
      </vt:variant>
      <vt:variant>
        <vt:lpwstr>_Toc421012363</vt:lpwstr>
      </vt:variant>
      <vt:variant>
        <vt:i4>1114167</vt:i4>
      </vt:variant>
      <vt:variant>
        <vt:i4>392</vt:i4>
      </vt:variant>
      <vt:variant>
        <vt:i4>0</vt:i4>
      </vt:variant>
      <vt:variant>
        <vt:i4>5</vt:i4>
      </vt:variant>
      <vt:variant>
        <vt:lpwstr/>
      </vt:variant>
      <vt:variant>
        <vt:lpwstr>_Toc421012362</vt:lpwstr>
      </vt:variant>
      <vt:variant>
        <vt:i4>1114167</vt:i4>
      </vt:variant>
      <vt:variant>
        <vt:i4>386</vt:i4>
      </vt:variant>
      <vt:variant>
        <vt:i4>0</vt:i4>
      </vt:variant>
      <vt:variant>
        <vt:i4>5</vt:i4>
      </vt:variant>
      <vt:variant>
        <vt:lpwstr/>
      </vt:variant>
      <vt:variant>
        <vt:lpwstr>_Toc421012361</vt:lpwstr>
      </vt:variant>
      <vt:variant>
        <vt:i4>1114167</vt:i4>
      </vt:variant>
      <vt:variant>
        <vt:i4>380</vt:i4>
      </vt:variant>
      <vt:variant>
        <vt:i4>0</vt:i4>
      </vt:variant>
      <vt:variant>
        <vt:i4>5</vt:i4>
      </vt:variant>
      <vt:variant>
        <vt:lpwstr/>
      </vt:variant>
      <vt:variant>
        <vt:lpwstr>_Toc421012360</vt:lpwstr>
      </vt:variant>
      <vt:variant>
        <vt:i4>1179703</vt:i4>
      </vt:variant>
      <vt:variant>
        <vt:i4>374</vt:i4>
      </vt:variant>
      <vt:variant>
        <vt:i4>0</vt:i4>
      </vt:variant>
      <vt:variant>
        <vt:i4>5</vt:i4>
      </vt:variant>
      <vt:variant>
        <vt:lpwstr/>
      </vt:variant>
      <vt:variant>
        <vt:lpwstr>_Toc421012359</vt:lpwstr>
      </vt:variant>
      <vt:variant>
        <vt:i4>1179703</vt:i4>
      </vt:variant>
      <vt:variant>
        <vt:i4>368</vt:i4>
      </vt:variant>
      <vt:variant>
        <vt:i4>0</vt:i4>
      </vt:variant>
      <vt:variant>
        <vt:i4>5</vt:i4>
      </vt:variant>
      <vt:variant>
        <vt:lpwstr/>
      </vt:variant>
      <vt:variant>
        <vt:lpwstr>_Toc421012358</vt:lpwstr>
      </vt:variant>
      <vt:variant>
        <vt:i4>1179703</vt:i4>
      </vt:variant>
      <vt:variant>
        <vt:i4>362</vt:i4>
      </vt:variant>
      <vt:variant>
        <vt:i4>0</vt:i4>
      </vt:variant>
      <vt:variant>
        <vt:i4>5</vt:i4>
      </vt:variant>
      <vt:variant>
        <vt:lpwstr/>
      </vt:variant>
      <vt:variant>
        <vt:lpwstr>_Toc421012357</vt:lpwstr>
      </vt:variant>
      <vt:variant>
        <vt:i4>1179703</vt:i4>
      </vt:variant>
      <vt:variant>
        <vt:i4>356</vt:i4>
      </vt:variant>
      <vt:variant>
        <vt:i4>0</vt:i4>
      </vt:variant>
      <vt:variant>
        <vt:i4>5</vt:i4>
      </vt:variant>
      <vt:variant>
        <vt:lpwstr/>
      </vt:variant>
      <vt:variant>
        <vt:lpwstr>_Toc421012356</vt:lpwstr>
      </vt:variant>
      <vt:variant>
        <vt:i4>1179703</vt:i4>
      </vt:variant>
      <vt:variant>
        <vt:i4>350</vt:i4>
      </vt:variant>
      <vt:variant>
        <vt:i4>0</vt:i4>
      </vt:variant>
      <vt:variant>
        <vt:i4>5</vt:i4>
      </vt:variant>
      <vt:variant>
        <vt:lpwstr/>
      </vt:variant>
      <vt:variant>
        <vt:lpwstr>_Toc421012355</vt:lpwstr>
      </vt:variant>
      <vt:variant>
        <vt:i4>1179703</vt:i4>
      </vt:variant>
      <vt:variant>
        <vt:i4>344</vt:i4>
      </vt:variant>
      <vt:variant>
        <vt:i4>0</vt:i4>
      </vt:variant>
      <vt:variant>
        <vt:i4>5</vt:i4>
      </vt:variant>
      <vt:variant>
        <vt:lpwstr/>
      </vt:variant>
      <vt:variant>
        <vt:lpwstr>_Toc421012354</vt:lpwstr>
      </vt:variant>
      <vt:variant>
        <vt:i4>1179703</vt:i4>
      </vt:variant>
      <vt:variant>
        <vt:i4>338</vt:i4>
      </vt:variant>
      <vt:variant>
        <vt:i4>0</vt:i4>
      </vt:variant>
      <vt:variant>
        <vt:i4>5</vt:i4>
      </vt:variant>
      <vt:variant>
        <vt:lpwstr/>
      </vt:variant>
      <vt:variant>
        <vt:lpwstr>_Toc421012353</vt:lpwstr>
      </vt:variant>
      <vt:variant>
        <vt:i4>1179703</vt:i4>
      </vt:variant>
      <vt:variant>
        <vt:i4>332</vt:i4>
      </vt:variant>
      <vt:variant>
        <vt:i4>0</vt:i4>
      </vt:variant>
      <vt:variant>
        <vt:i4>5</vt:i4>
      </vt:variant>
      <vt:variant>
        <vt:lpwstr/>
      </vt:variant>
      <vt:variant>
        <vt:lpwstr>_Toc421012352</vt:lpwstr>
      </vt:variant>
      <vt:variant>
        <vt:i4>1179703</vt:i4>
      </vt:variant>
      <vt:variant>
        <vt:i4>326</vt:i4>
      </vt:variant>
      <vt:variant>
        <vt:i4>0</vt:i4>
      </vt:variant>
      <vt:variant>
        <vt:i4>5</vt:i4>
      </vt:variant>
      <vt:variant>
        <vt:lpwstr/>
      </vt:variant>
      <vt:variant>
        <vt:lpwstr>_Toc421012351</vt:lpwstr>
      </vt:variant>
      <vt:variant>
        <vt:i4>1179703</vt:i4>
      </vt:variant>
      <vt:variant>
        <vt:i4>320</vt:i4>
      </vt:variant>
      <vt:variant>
        <vt:i4>0</vt:i4>
      </vt:variant>
      <vt:variant>
        <vt:i4>5</vt:i4>
      </vt:variant>
      <vt:variant>
        <vt:lpwstr/>
      </vt:variant>
      <vt:variant>
        <vt:lpwstr>_Toc421012350</vt:lpwstr>
      </vt:variant>
      <vt:variant>
        <vt:i4>1245239</vt:i4>
      </vt:variant>
      <vt:variant>
        <vt:i4>314</vt:i4>
      </vt:variant>
      <vt:variant>
        <vt:i4>0</vt:i4>
      </vt:variant>
      <vt:variant>
        <vt:i4>5</vt:i4>
      </vt:variant>
      <vt:variant>
        <vt:lpwstr/>
      </vt:variant>
      <vt:variant>
        <vt:lpwstr>_Toc421012349</vt:lpwstr>
      </vt:variant>
      <vt:variant>
        <vt:i4>1245239</vt:i4>
      </vt:variant>
      <vt:variant>
        <vt:i4>308</vt:i4>
      </vt:variant>
      <vt:variant>
        <vt:i4>0</vt:i4>
      </vt:variant>
      <vt:variant>
        <vt:i4>5</vt:i4>
      </vt:variant>
      <vt:variant>
        <vt:lpwstr/>
      </vt:variant>
      <vt:variant>
        <vt:lpwstr>_Toc421012348</vt:lpwstr>
      </vt:variant>
      <vt:variant>
        <vt:i4>1245239</vt:i4>
      </vt:variant>
      <vt:variant>
        <vt:i4>302</vt:i4>
      </vt:variant>
      <vt:variant>
        <vt:i4>0</vt:i4>
      </vt:variant>
      <vt:variant>
        <vt:i4>5</vt:i4>
      </vt:variant>
      <vt:variant>
        <vt:lpwstr/>
      </vt:variant>
      <vt:variant>
        <vt:lpwstr>_Toc421012347</vt:lpwstr>
      </vt:variant>
      <vt:variant>
        <vt:i4>1245239</vt:i4>
      </vt:variant>
      <vt:variant>
        <vt:i4>296</vt:i4>
      </vt:variant>
      <vt:variant>
        <vt:i4>0</vt:i4>
      </vt:variant>
      <vt:variant>
        <vt:i4>5</vt:i4>
      </vt:variant>
      <vt:variant>
        <vt:lpwstr/>
      </vt:variant>
      <vt:variant>
        <vt:lpwstr>_Toc421012346</vt:lpwstr>
      </vt:variant>
      <vt:variant>
        <vt:i4>1245239</vt:i4>
      </vt:variant>
      <vt:variant>
        <vt:i4>290</vt:i4>
      </vt:variant>
      <vt:variant>
        <vt:i4>0</vt:i4>
      </vt:variant>
      <vt:variant>
        <vt:i4>5</vt:i4>
      </vt:variant>
      <vt:variant>
        <vt:lpwstr/>
      </vt:variant>
      <vt:variant>
        <vt:lpwstr>_Toc421012345</vt:lpwstr>
      </vt:variant>
      <vt:variant>
        <vt:i4>1245239</vt:i4>
      </vt:variant>
      <vt:variant>
        <vt:i4>284</vt:i4>
      </vt:variant>
      <vt:variant>
        <vt:i4>0</vt:i4>
      </vt:variant>
      <vt:variant>
        <vt:i4>5</vt:i4>
      </vt:variant>
      <vt:variant>
        <vt:lpwstr/>
      </vt:variant>
      <vt:variant>
        <vt:lpwstr>_Toc421012344</vt:lpwstr>
      </vt:variant>
      <vt:variant>
        <vt:i4>1245239</vt:i4>
      </vt:variant>
      <vt:variant>
        <vt:i4>278</vt:i4>
      </vt:variant>
      <vt:variant>
        <vt:i4>0</vt:i4>
      </vt:variant>
      <vt:variant>
        <vt:i4>5</vt:i4>
      </vt:variant>
      <vt:variant>
        <vt:lpwstr/>
      </vt:variant>
      <vt:variant>
        <vt:lpwstr>_Toc421012343</vt:lpwstr>
      </vt:variant>
      <vt:variant>
        <vt:i4>1245239</vt:i4>
      </vt:variant>
      <vt:variant>
        <vt:i4>272</vt:i4>
      </vt:variant>
      <vt:variant>
        <vt:i4>0</vt:i4>
      </vt:variant>
      <vt:variant>
        <vt:i4>5</vt:i4>
      </vt:variant>
      <vt:variant>
        <vt:lpwstr/>
      </vt:variant>
      <vt:variant>
        <vt:lpwstr>_Toc421012342</vt:lpwstr>
      </vt:variant>
      <vt:variant>
        <vt:i4>1245239</vt:i4>
      </vt:variant>
      <vt:variant>
        <vt:i4>266</vt:i4>
      </vt:variant>
      <vt:variant>
        <vt:i4>0</vt:i4>
      </vt:variant>
      <vt:variant>
        <vt:i4>5</vt:i4>
      </vt:variant>
      <vt:variant>
        <vt:lpwstr/>
      </vt:variant>
      <vt:variant>
        <vt:lpwstr>_Toc421012341</vt:lpwstr>
      </vt:variant>
      <vt:variant>
        <vt:i4>1245239</vt:i4>
      </vt:variant>
      <vt:variant>
        <vt:i4>260</vt:i4>
      </vt:variant>
      <vt:variant>
        <vt:i4>0</vt:i4>
      </vt:variant>
      <vt:variant>
        <vt:i4>5</vt:i4>
      </vt:variant>
      <vt:variant>
        <vt:lpwstr/>
      </vt:variant>
      <vt:variant>
        <vt:lpwstr>_Toc421012340</vt:lpwstr>
      </vt:variant>
      <vt:variant>
        <vt:i4>1310775</vt:i4>
      </vt:variant>
      <vt:variant>
        <vt:i4>254</vt:i4>
      </vt:variant>
      <vt:variant>
        <vt:i4>0</vt:i4>
      </vt:variant>
      <vt:variant>
        <vt:i4>5</vt:i4>
      </vt:variant>
      <vt:variant>
        <vt:lpwstr/>
      </vt:variant>
      <vt:variant>
        <vt:lpwstr>_Toc421012339</vt:lpwstr>
      </vt:variant>
      <vt:variant>
        <vt:i4>1310775</vt:i4>
      </vt:variant>
      <vt:variant>
        <vt:i4>248</vt:i4>
      </vt:variant>
      <vt:variant>
        <vt:i4>0</vt:i4>
      </vt:variant>
      <vt:variant>
        <vt:i4>5</vt:i4>
      </vt:variant>
      <vt:variant>
        <vt:lpwstr/>
      </vt:variant>
      <vt:variant>
        <vt:lpwstr>_Toc421012338</vt:lpwstr>
      </vt:variant>
      <vt:variant>
        <vt:i4>1310775</vt:i4>
      </vt:variant>
      <vt:variant>
        <vt:i4>242</vt:i4>
      </vt:variant>
      <vt:variant>
        <vt:i4>0</vt:i4>
      </vt:variant>
      <vt:variant>
        <vt:i4>5</vt:i4>
      </vt:variant>
      <vt:variant>
        <vt:lpwstr/>
      </vt:variant>
      <vt:variant>
        <vt:lpwstr>_Toc421012337</vt:lpwstr>
      </vt:variant>
      <vt:variant>
        <vt:i4>1310775</vt:i4>
      </vt:variant>
      <vt:variant>
        <vt:i4>236</vt:i4>
      </vt:variant>
      <vt:variant>
        <vt:i4>0</vt:i4>
      </vt:variant>
      <vt:variant>
        <vt:i4>5</vt:i4>
      </vt:variant>
      <vt:variant>
        <vt:lpwstr/>
      </vt:variant>
      <vt:variant>
        <vt:lpwstr>_Toc421012336</vt:lpwstr>
      </vt:variant>
      <vt:variant>
        <vt:i4>1310775</vt:i4>
      </vt:variant>
      <vt:variant>
        <vt:i4>230</vt:i4>
      </vt:variant>
      <vt:variant>
        <vt:i4>0</vt:i4>
      </vt:variant>
      <vt:variant>
        <vt:i4>5</vt:i4>
      </vt:variant>
      <vt:variant>
        <vt:lpwstr/>
      </vt:variant>
      <vt:variant>
        <vt:lpwstr>_Toc421012335</vt:lpwstr>
      </vt:variant>
      <vt:variant>
        <vt:i4>1310775</vt:i4>
      </vt:variant>
      <vt:variant>
        <vt:i4>224</vt:i4>
      </vt:variant>
      <vt:variant>
        <vt:i4>0</vt:i4>
      </vt:variant>
      <vt:variant>
        <vt:i4>5</vt:i4>
      </vt:variant>
      <vt:variant>
        <vt:lpwstr/>
      </vt:variant>
      <vt:variant>
        <vt:lpwstr>_Toc421012334</vt:lpwstr>
      </vt:variant>
      <vt:variant>
        <vt:i4>1310775</vt:i4>
      </vt:variant>
      <vt:variant>
        <vt:i4>218</vt:i4>
      </vt:variant>
      <vt:variant>
        <vt:i4>0</vt:i4>
      </vt:variant>
      <vt:variant>
        <vt:i4>5</vt:i4>
      </vt:variant>
      <vt:variant>
        <vt:lpwstr/>
      </vt:variant>
      <vt:variant>
        <vt:lpwstr>_Toc421012333</vt:lpwstr>
      </vt:variant>
      <vt:variant>
        <vt:i4>1310775</vt:i4>
      </vt:variant>
      <vt:variant>
        <vt:i4>212</vt:i4>
      </vt:variant>
      <vt:variant>
        <vt:i4>0</vt:i4>
      </vt:variant>
      <vt:variant>
        <vt:i4>5</vt:i4>
      </vt:variant>
      <vt:variant>
        <vt:lpwstr/>
      </vt:variant>
      <vt:variant>
        <vt:lpwstr>_Toc421012332</vt:lpwstr>
      </vt:variant>
      <vt:variant>
        <vt:i4>1310775</vt:i4>
      </vt:variant>
      <vt:variant>
        <vt:i4>206</vt:i4>
      </vt:variant>
      <vt:variant>
        <vt:i4>0</vt:i4>
      </vt:variant>
      <vt:variant>
        <vt:i4>5</vt:i4>
      </vt:variant>
      <vt:variant>
        <vt:lpwstr/>
      </vt:variant>
      <vt:variant>
        <vt:lpwstr>_Toc421012331</vt:lpwstr>
      </vt:variant>
      <vt:variant>
        <vt:i4>1310775</vt:i4>
      </vt:variant>
      <vt:variant>
        <vt:i4>200</vt:i4>
      </vt:variant>
      <vt:variant>
        <vt:i4>0</vt:i4>
      </vt:variant>
      <vt:variant>
        <vt:i4>5</vt:i4>
      </vt:variant>
      <vt:variant>
        <vt:lpwstr/>
      </vt:variant>
      <vt:variant>
        <vt:lpwstr>_Toc421012330</vt:lpwstr>
      </vt:variant>
      <vt:variant>
        <vt:i4>1376311</vt:i4>
      </vt:variant>
      <vt:variant>
        <vt:i4>194</vt:i4>
      </vt:variant>
      <vt:variant>
        <vt:i4>0</vt:i4>
      </vt:variant>
      <vt:variant>
        <vt:i4>5</vt:i4>
      </vt:variant>
      <vt:variant>
        <vt:lpwstr/>
      </vt:variant>
      <vt:variant>
        <vt:lpwstr>_Toc421012329</vt:lpwstr>
      </vt:variant>
      <vt:variant>
        <vt:i4>1376311</vt:i4>
      </vt:variant>
      <vt:variant>
        <vt:i4>188</vt:i4>
      </vt:variant>
      <vt:variant>
        <vt:i4>0</vt:i4>
      </vt:variant>
      <vt:variant>
        <vt:i4>5</vt:i4>
      </vt:variant>
      <vt:variant>
        <vt:lpwstr/>
      </vt:variant>
      <vt:variant>
        <vt:lpwstr>_Toc421012328</vt:lpwstr>
      </vt:variant>
      <vt:variant>
        <vt:i4>1376311</vt:i4>
      </vt:variant>
      <vt:variant>
        <vt:i4>182</vt:i4>
      </vt:variant>
      <vt:variant>
        <vt:i4>0</vt:i4>
      </vt:variant>
      <vt:variant>
        <vt:i4>5</vt:i4>
      </vt:variant>
      <vt:variant>
        <vt:lpwstr/>
      </vt:variant>
      <vt:variant>
        <vt:lpwstr>_Toc421012327</vt:lpwstr>
      </vt:variant>
      <vt:variant>
        <vt:i4>1376311</vt:i4>
      </vt:variant>
      <vt:variant>
        <vt:i4>176</vt:i4>
      </vt:variant>
      <vt:variant>
        <vt:i4>0</vt:i4>
      </vt:variant>
      <vt:variant>
        <vt:i4>5</vt:i4>
      </vt:variant>
      <vt:variant>
        <vt:lpwstr/>
      </vt:variant>
      <vt:variant>
        <vt:lpwstr>_Toc421012326</vt:lpwstr>
      </vt:variant>
      <vt:variant>
        <vt:i4>1376311</vt:i4>
      </vt:variant>
      <vt:variant>
        <vt:i4>170</vt:i4>
      </vt:variant>
      <vt:variant>
        <vt:i4>0</vt:i4>
      </vt:variant>
      <vt:variant>
        <vt:i4>5</vt:i4>
      </vt:variant>
      <vt:variant>
        <vt:lpwstr/>
      </vt:variant>
      <vt:variant>
        <vt:lpwstr>_Toc421012325</vt:lpwstr>
      </vt:variant>
      <vt:variant>
        <vt:i4>1376311</vt:i4>
      </vt:variant>
      <vt:variant>
        <vt:i4>164</vt:i4>
      </vt:variant>
      <vt:variant>
        <vt:i4>0</vt:i4>
      </vt:variant>
      <vt:variant>
        <vt:i4>5</vt:i4>
      </vt:variant>
      <vt:variant>
        <vt:lpwstr/>
      </vt:variant>
      <vt:variant>
        <vt:lpwstr>_Toc421012324</vt:lpwstr>
      </vt:variant>
      <vt:variant>
        <vt:i4>1376311</vt:i4>
      </vt:variant>
      <vt:variant>
        <vt:i4>158</vt:i4>
      </vt:variant>
      <vt:variant>
        <vt:i4>0</vt:i4>
      </vt:variant>
      <vt:variant>
        <vt:i4>5</vt:i4>
      </vt:variant>
      <vt:variant>
        <vt:lpwstr/>
      </vt:variant>
      <vt:variant>
        <vt:lpwstr>_Toc421012323</vt:lpwstr>
      </vt:variant>
      <vt:variant>
        <vt:i4>1376311</vt:i4>
      </vt:variant>
      <vt:variant>
        <vt:i4>152</vt:i4>
      </vt:variant>
      <vt:variant>
        <vt:i4>0</vt:i4>
      </vt:variant>
      <vt:variant>
        <vt:i4>5</vt:i4>
      </vt:variant>
      <vt:variant>
        <vt:lpwstr/>
      </vt:variant>
      <vt:variant>
        <vt:lpwstr>_Toc421012322</vt:lpwstr>
      </vt:variant>
      <vt:variant>
        <vt:i4>1376311</vt:i4>
      </vt:variant>
      <vt:variant>
        <vt:i4>146</vt:i4>
      </vt:variant>
      <vt:variant>
        <vt:i4>0</vt:i4>
      </vt:variant>
      <vt:variant>
        <vt:i4>5</vt:i4>
      </vt:variant>
      <vt:variant>
        <vt:lpwstr/>
      </vt:variant>
      <vt:variant>
        <vt:lpwstr>_Toc421012321</vt:lpwstr>
      </vt:variant>
      <vt:variant>
        <vt:i4>1376311</vt:i4>
      </vt:variant>
      <vt:variant>
        <vt:i4>140</vt:i4>
      </vt:variant>
      <vt:variant>
        <vt:i4>0</vt:i4>
      </vt:variant>
      <vt:variant>
        <vt:i4>5</vt:i4>
      </vt:variant>
      <vt:variant>
        <vt:lpwstr/>
      </vt:variant>
      <vt:variant>
        <vt:lpwstr>_Toc421012320</vt:lpwstr>
      </vt:variant>
      <vt:variant>
        <vt:i4>1441847</vt:i4>
      </vt:variant>
      <vt:variant>
        <vt:i4>134</vt:i4>
      </vt:variant>
      <vt:variant>
        <vt:i4>0</vt:i4>
      </vt:variant>
      <vt:variant>
        <vt:i4>5</vt:i4>
      </vt:variant>
      <vt:variant>
        <vt:lpwstr/>
      </vt:variant>
      <vt:variant>
        <vt:lpwstr>_Toc421012319</vt:lpwstr>
      </vt:variant>
      <vt:variant>
        <vt:i4>1441847</vt:i4>
      </vt:variant>
      <vt:variant>
        <vt:i4>128</vt:i4>
      </vt:variant>
      <vt:variant>
        <vt:i4>0</vt:i4>
      </vt:variant>
      <vt:variant>
        <vt:i4>5</vt:i4>
      </vt:variant>
      <vt:variant>
        <vt:lpwstr/>
      </vt:variant>
      <vt:variant>
        <vt:lpwstr>_Toc421012318</vt:lpwstr>
      </vt:variant>
      <vt:variant>
        <vt:i4>1441847</vt:i4>
      </vt:variant>
      <vt:variant>
        <vt:i4>122</vt:i4>
      </vt:variant>
      <vt:variant>
        <vt:i4>0</vt:i4>
      </vt:variant>
      <vt:variant>
        <vt:i4>5</vt:i4>
      </vt:variant>
      <vt:variant>
        <vt:lpwstr/>
      </vt:variant>
      <vt:variant>
        <vt:lpwstr>_Toc421012317</vt:lpwstr>
      </vt:variant>
      <vt:variant>
        <vt:i4>1441847</vt:i4>
      </vt:variant>
      <vt:variant>
        <vt:i4>116</vt:i4>
      </vt:variant>
      <vt:variant>
        <vt:i4>0</vt:i4>
      </vt:variant>
      <vt:variant>
        <vt:i4>5</vt:i4>
      </vt:variant>
      <vt:variant>
        <vt:lpwstr/>
      </vt:variant>
      <vt:variant>
        <vt:lpwstr>_Toc421012316</vt:lpwstr>
      </vt:variant>
      <vt:variant>
        <vt:i4>1441847</vt:i4>
      </vt:variant>
      <vt:variant>
        <vt:i4>110</vt:i4>
      </vt:variant>
      <vt:variant>
        <vt:i4>0</vt:i4>
      </vt:variant>
      <vt:variant>
        <vt:i4>5</vt:i4>
      </vt:variant>
      <vt:variant>
        <vt:lpwstr/>
      </vt:variant>
      <vt:variant>
        <vt:lpwstr>_Toc421012315</vt:lpwstr>
      </vt:variant>
      <vt:variant>
        <vt:i4>1441847</vt:i4>
      </vt:variant>
      <vt:variant>
        <vt:i4>104</vt:i4>
      </vt:variant>
      <vt:variant>
        <vt:i4>0</vt:i4>
      </vt:variant>
      <vt:variant>
        <vt:i4>5</vt:i4>
      </vt:variant>
      <vt:variant>
        <vt:lpwstr/>
      </vt:variant>
      <vt:variant>
        <vt:lpwstr>_Toc421012314</vt:lpwstr>
      </vt:variant>
      <vt:variant>
        <vt:i4>1441847</vt:i4>
      </vt:variant>
      <vt:variant>
        <vt:i4>98</vt:i4>
      </vt:variant>
      <vt:variant>
        <vt:i4>0</vt:i4>
      </vt:variant>
      <vt:variant>
        <vt:i4>5</vt:i4>
      </vt:variant>
      <vt:variant>
        <vt:lpwstr/>
      </vt:variant>
      <vt:variant>
        <vt:lpwstr>_Toc421012313</vt:lpwstr>
      </vt:variant>
      <vt:variant>
        <vt:i4>1441847</vt:i4>
      </vt:variant>
      <vt:variant>
        <vt:i4>92</vt:i4>
      </vt:variant>
      <vt:variant>
        <vt:i4>0</vt:i4>
      </vt:variant>
      <vt:variant>
        <vt:i4>5</vt:i4>
      </vt:variant>
      <vt:variant>
        <vt:lpwstr/>
      </vt:variant>
      <vt:variant>
        <vt:lpwstr>_Toc421012312</vt:lpwstr>
      </vt:variant>
      <vt:variant>
        <vt:i4>1441847</vt:i4>
      </vt:variant>
      <vt:variant>
        <vt:i4>86</vt:i4>
      </vt:variant>
      <vt:variant>
        <vt:i4>0</vt:i4>
      </vt:variant>
      <vt:variant>
        <vt:i4>5</vt:i4>
      </vt:variant>
      <vt:variant>
        <vt:lpwstr/>
      </vt:variant>
      <vt:variant>
        <vt:lpwstr>_Toc421012311</vt:lpwstr>
      </vt:variant>
      <vt:variant>
        <vt:i4>1441847</vt:i4>
      </vt:variant>
      <vt:variant>
        <vt:i4>80</vt:i4>
      </vt:variant>
      <vt:variant>
        <vt:i4>0</vt:i4>
      </vt:variant>
      <vt:variant>
        <vt:i4>5</vt:i4>
      </vt:variant>
      <vt:variant>
        <vt:lpwstr/>
      </vt:variant>
      <vt:variant>
        <vt:lpwstr>_Toc421012310</vt:lpwstr>
      </vt:variant>
      <vt:variant>
        <vt:i4>1507383</vt:i4>
      </vt:variant>
      <vt:variant>
        <vt:i4>74</vt:i4>
      </vt:variant>
      <vt:variant>
        <vt:i4>0</vt:i4>
      </vt:variant>
      <vt:variant>
        <vt:i4>5</vt:i4>
      </vt:variant>
      <vt:variant>
        <vt:lpwstr/>
      </vt:variant>
      <vt:variant>
        <vt:lpwstr>_Toc421012309</vt:lpwstr>
      </vt:variant>
      <vt:variant>
        <vt:i4>1507383</vt:i4>
      </vt:variant>
      <vt:variant>
        <vt:i4>68</vt:i4>
      </vt:variant>
      <vt:variant>
        <vt:i4>0</vt:i4>
      </vt:variant>
      <vt:variant>
        <vt:i4>5</vt:i4>
      </vt:variant>
      <vt:variant>
        <vt:lpwstr/>
      </vt:variant>
      <vt:variant>
        <vt:lpwstr>_Toc421012308</vt:lpwstr>
      </vt:variant>
      <vt:variant>
        <vt:i4>1507383</vt:i4>
      </vt:variant>
      <vt:variant>
        <vt:i4>62</vt:i4>
      </vt:variant>
      <vt:variant>
        <vt:i4>0</vt:i4>
      </vt:variant>
      <vt:variant>
        <vt:i4>5</vt:i4>
      </vt:variant>
      <vt:variant>
        <vt:lpwstr/>
      </vt:variant>
      <vt:variant>
        <vt:lpwstr>_Toc421012307</vt:lpwstr>
      </vt:variant>
      <vt:variant>
        <vt:i4>1507383</vt:i4>
      </vt:variant>
      <vt:variant>
        <vt:i4>56</vt:i4>
      </vt:variant>
      <vt:variant>
        <vt:i4>0</vt:i4>
      </vt:variant>
      <vt:variant>
        <vt:i4>5</vt:i4>
      </vt:variant>
      <vt:variant>
        <vt:lpwstr/>
      </vt:variant>
      <vt:variant>
        <vt:lpwstr>_Toc421012306</vt:lpwstr>
      </vt:variant>
      <vt:variant>
        <vt:i4>1507383</vt:i4>
      </vt:variant>
      <vt:variant>
        <vt:i4>50</vt:i4>
      </vt:variant>
      <vt:variant>
        <vt:i4>0</vt:i4>
      </vt:variant>
      <vt:variant>
        <vt:i4>5</vt:i4>
      </vt:variant>
      <vt:variant>
        <vt:lpwstr/>
      </vt:variant>
      <vt:variant>
        <vt:lpwstr>_Toc421012305</vt:lpwstr>
      </vt:variant>
      <vt:variant>
        <vt:i4>1507383</vt:i4>
      </vt:variant>
      <vt:variant>
        <vt:i4>44</vt:i4>
      </vt:variant>
      <vt:variant>
        <vt:i4>0</vt:i4>
      </vt:variant>
      <vt:variant>
        <vt:i4>5</vt:i4>
      </vt:variant>
      <vt:variant>
        <vt:lpwstr/>
      </vt:variant>
      <vt:variant>
        <vt:lpwstr>_Toc421012304</vt:lpwstr>
      </vt:variant>
      <vt:variant>
        <vt:i4>1507383</vt:i4>
      </vt:variant>
      <vt:variant>
        <vt:i4>38</vt:i4>
      </vt:variant>
      <vt:variant>
        <vt:i4>0</vt:i4>
      </vt:variant>
      <vt:variant>
        <vt:i4>5</vt:i4>
      </vt:variant>
      <vt:variant>
        <vt:lpwstr/>
      </vt:variant>
      <vt:variant>
        <vt:lpwstr>_Toc421012303</vt:lpwstr>
      </vt:variant>
      <vt:variant>
        <vt:i4>1507383</vt:i4>
      </vt:variant>
      <vt:variant>
        <vt:i4>32</vt:i4>
      </vt:variant>
      <vt:variant>
        <vt:i4>0</vt:i4>
      </vt:variant>
      <vt:variant>
        <vt:i4>5</vt:i4>
      </vt:variant>
      <vt:variant>
        <vt:lpwstr/>
      </vt:variant>
      <vt:variant>
        <vt:lpwstr>_Toc421012302</vt:lpwstr>
      </vt:variant>
      <vt:variant>
        <vt:i4>1507383</vt:i4>
      </vt:variant>
      <vt:variant>
        <vt:i4>26</vt:i4>
      </vt:variant>
      <vt:variant>
        <vt:i4>0</vt:i4>
      </vt:variant>
      <vt:variant>
        <vt:i4>5</vt:i4>
      </vt:variant>
      <vt:variant>
        <vt:lpwstr/>
      </vt:variant>
      <vt:variant>
        <vt:lpwstr>_Toc421012301</vt:lpwstr>
      </vt:variant>
      <vt:variant>
        <vt:i4>1507383</vt:i4>
      </vt:variant>
      <vt:variant>
        <vt:i4>20</vt:i4>
      </vt:variant>
      <vt:variant>
        <vt:i4>0</vt:i4>
      </vt:variant>
      <vt:variant>
        <vt:i4>5</vt:i4>
      </vt:variant>
      <vt:variant>
        <vt:lpwstr/>
      </vt:variant>
      <vt:variant>
        <vt:lpwstr>_Toc421012300</vt:lpwstr>
      </vt:variant>
      <vt:variant>
        <vt:i4>1966134</vt:i4>
      </vt:variant>
      <vt:variant>
        <vt:i4>14</vt:i4>
      </vt:variant>
      <vt:variant>
        <vt:i4>0</vt:i4>
      </vt:variant>
      <vt:variant>
        <vt:i4>5</vt:i4>
      </vt:variant>
      <vt:variant>
        <vt:lpwstr/>
      </vt:variant>
      <vt:variant>
        <vt:lpwstr>_Toc421012299</vt:lpwstr>
      </vt:variant>
      <vt:variant>
        <vt:i4>1966134</vt:i4>
      </vt:variant>
      <vt:variant>
        <vt:i4>8</vt:i4>
      </vt:variant>
      <vt:variant>
        <vt:i4>0</vt:i4>
      </vt:variant>
      <vt:variant>
        <vt:i4>5</vt:i4>
      </vt:variant>
      <vt:variant>
        <vt:lpwstr/>
      </vt:variant>
      <vt:variant>
        <vt:lpwstr>_Toc421012298</vt:lpwstr>
      </vt:variant>
      <vt:variant>
        <vt:i4>1966134</vt:i4>
      </vt:variant>
      <vt:variant>
        <vt:i4>2</vt:i4>
      </vt:variant>
      <vt:variant>
        <vt:i4>0</vt:i4>
      </vt:variant>
      <vt:variant>
        <vt:i4>5</vt:i4>
      </vt:variant>
      <vt:variant>
        <vt:lpwstr/>
      </vt:variant>
      <vt:variant>
        <vt:lpwstr>_Toc421012297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Ehrenberg</dc:creator>
  <cp:lastModifiedBy>Collins, Joe (CI-StPaul)</cp:lastModifiedBy>
  <cp:revision>4</cp:revision>
  <cp:lastPrinted>2018-07-03T19:25:00Z</cp:lastPrinted>
  <dcterms:created xsi:type="dcterms:W3CDTF">2018-07-11T19:39:00Z</dcterms:created>
  <dcterms:modified xsi:type="dcterms:W3CDTF">2018-07-17T15:45:00Z</dcterms:modified>
</cp:coreProperties>
</file>