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BE78" w14:textId="77777777" w:rsidR="00EF43D7" w:rsidRPr="00535B93" w:rsidRDefault="00EF43D7" w:rsidP="00535B93">
      <w:pPr>
        <w:pStyle w:val="BodyText"/>
        <w:spacing w:line="276" w:lineRule="auto"/>
        <w:jc w:val="center"/>
        <w:rPr>
          <w:b/>
        </w:rPr>
      </w:pPr>
      <w:r w:rsidRPr="00535B93">
        <w:rPr>
          <w:b/>
        </w:rPr>
        <w:t>PLANNING AND ECONOMIC DEVELOPMENT</w:t>
      </w:r>
    </w:p>
    <w:p w14:paraId="683BD284" w14:textId="1B44E80A" w:rsidR="00EF43D7" w:rsidRPr="00535B93" w:rsidRDefault="00EF43D7" w:rsidP="00535B93">
      <w:pPr>
        <w:pStyle w:val="BodyText"/>
        <w:spacing w:line="276" w:lineRule="auto"/>
        <w:jc w:val="center"/>
        <w:rPr>
          <w:b/>
        </w:rPr>
      </w:pPr>
      <w:r w:rsidRPr="00535B93">
        <w:rPr>
          <w:b/>
        </w:rPr>
        <w:t>CITY OF SAINT PAUL 4</w:t>
      </w:r>
      <w:r w:rsidR="00F202E4" w:rsidRPr="00535B93">
        <w:rPr>
          <w:b/>
        </w:rPr>
        <w:t>(</w:t>
      </w:r>
      <w:r w:rsidRPr="00535B93">
        <w:rPr>
          <w:b/>
        </w:rPr>
        <w:t>D</w:t>
      </w:r>
      <w:r w:rsidR="00F202E4" w:rsidRPr="00535B93">
        <w:rPr>
          <w:b/>
        </w:rPr>
        <w:t>)</w:t>
      </w:r>
      <w:r w:rsidRPr="00535B93">
        <w:rPr>
          <w:b/>
        </w:rPr>
        <w:t xml:space="preserve"> AFFORDABLE HOUSING INCENTIVE PROGRAM</w:t>
      </w:r>
    </w:p>
    <w:p w14:paraId="5A07F262" w14:textId="77777777" w:rsidR="00EF43D7" w:rsidRDefault="00EF43D7" w:rsidP="00535B93">
      <w:pPr>
        <w:pStyle w:val="BodyText"/>
        <w:spacing w:line="276" w:lineRule="auto"/>
      </w:pPr>
    </w:p>
    <w:p w14:paraId="5B08A45F" w14:textId="77777777" w:rsidR="002003A0" w:rsidRDefault="002003A0" w:rsidP="00535B93">
      <w:pPr>
        <w:pStyle w:val="BodyText"/>
        <w:spacing w:line="276" w:lineRule="auto"/>
      </w:pPr>
    </w:p>
    <w:p w14:paraId="7DEA9109" w14:textId="61B7962A" w:rsidR="00EF43D7" w:rsidRPr="00535B93" w:rsidRDefault="008747B1" w:rsidP="00535B93">
      <w:pPr>
        <w:pStyle w:val="BodyText"/>
        <w:spacing w:after="240" w:line="276" w:lineRule="auto"/>
        <w:rPr>
          <w:b/>
        </w:rPr>
      </w:pPr>
      <w:r w:rsidRPr="00535B93">
        <w:rPr>
          <w:b/>
        </w:rPr>
        <w:t>Purpose</w:t>
      </w:r>
      <w:r w:rsidR="00B90814" w:rsidRPr="00535B93">
        <w:rPr>
          <w:b/>
        </w:rPr>
        <w:t xml:space="preserve">: </w:t>
      </w:r>
    </w:p>
    <w:p w14:paraId="2ACAF4A4" w14:textId="1784147D" w:rsidR="00EF43D7" w:rsidRDefault="00EF43D7" w:rsidP="00535B93">
      <w:pPr>
        <w:pStyle w:val="BodyText"/>
        <w:spacing w:after="240" w:line="276" w:lineRule="auto"/>
      </w:pPr>
      <w:r>
        <w:t>Due to current market trends, rents are increasing in many places throughout the City</w:t>
      </w:r>
      <w:r w:rsidR="004A01CD">
        <w:t xml:space="preserve"> of St. Paul</w:t>
      </w:r>
      <w:r>
        <w:t>, and renters are having increased difficult</w:t>
      </w:r>
      <w:r w:rsidR="004A01CD">
        <w:t>ies</w:t>
      </w:r>
      <w:r>
        <w:t xml:space="preserve"> making ends meet.  The City of Saint Paul is dedicated to preserving </w:t>
      </w:r>
      <w:r w:rsidR="004A01CD">
        <w:t xml:space="preserve">and providing </w:t>
      </w:r>
      <w:r>
        <w:t xml:space="preserve">healthy, </w:t>
      </w:r>
      <w:r w:rsidRPr="002E7FBD">
        <w:t>affordable housing for the well-being</w:t>
      </w:r>
      <w:r>
        <w:t xml:space="preserve"> and stability of </w:t>
      </w:r>
      <w:proofErr w:type="gramStart"/>
      <w:r w:rsidR="00BA5B43">
        <w:t>all</w:t>
      </w:r>
      <w:r>
        <w:t xml:space="preserve"> </w:t>
      </w:r>
      <w:r w:rsidR="00D92158">
        <w:t>of</w:t>
      </w:r>
      <w:proofErr w:type="gramEnd"/>
      <w:r w:rsidR="00D92158">
        <w:t xml:space="preserve"> its</w:t>
      </w:r>
      <w:r>
        <w:t xml:space="preserve"> residents and </w:t>
      </w:r>
      <w:r w:rsidR="00D92158">
        <w:t xml:space="preserve">its </w:t>
      </w:r>
      <w:r>
        <w:t>community.</w:t>
      </w:r>
    </w:p>
    <w:p w14:paraId="1A4B3F43" w14:textId="77777777" w:rsidR="0025150F" w:rsidRPr="0088660C" w:rsidRDefault="0025150F" w:rsidP="00535B93">
      <w:pPr>
        <w:pStyle w:val="BodyText"/>
        <w:spacing w:line="276" w:lineRule="auto"/>
      </w:pPr>
      <w:r w:rsidRPr="0088660C">
        <w:t>Through the Saint Paul 4(d) Affordable Housing Incentive Program, the City of Saint Paul offers a valuable package of incentives for rental property owners to reduce property tax liability and address conditions of aging buildings with the goal of preserving affordability, enhancing the physical condition of rental units, and providing stable, healthier and safer homes to tenants.</w:t>
      </w:r>
    </w:p>
    <w:p w14:paraId="068CFE2B" w14:textId="77777777" w:rsidR="0025150F" w:rsidRDefault="0025150F" w:rsidP="00535B93">
      <w:pPr>
        <w:pStyle w:val="BodyText"/>
        <w:spacing w:line="276" w:lineRule="auto"/>
      </w:pPr>
    </w:p>
    <w:p w14:paraId="7ED764C4" w14:textId="77777777" w:rsidR="00EF43D7" w:rsidRDefault="00EF43D7" w:rsidP="00535B93">
      <w:pPr>
        <w:pStyle w:val="BodyText"/>
        <w:spacing w:line="276" w:lineRule="auto"/>
        <w:rPr>
          <w:bCs/>
          <w:sz w:val="11"/>
        </w:rPr>
      </w:pPr>
      <w:bookmarkStart w:id="0" w:name="What_are_the_benefits_to_participants?"/>
      <w:bookmarkEnd w:id="0"/>
    </w:p>
    <w:p w14:paraId="2841BD99" w14:textId="4BC3D0EC" w:rsidR="00EF43D7" w:rsidRPr="00535B93" w:rsidRDefault="0025150F" w:rsidP="00535B93">
      <w:pPr>
        <w:pStyle w:val="BodyText"/>
        <w:spacing w:after="240" w:line="276" w:lineRule="auto"/>
        <w:rPr>
          <w:b/>
        </w:rPr>
      </w:pPr>
      <w:r w:rsidRPr="00535B93">
        <w:rPr>
          <w:b/>
        </w:rPr>
        <w:t>What are the benefits to participants?</w:t>
      </w:r>
      <w:r w:rsidR="00DF29DE" w:rsidRPr="00535B93">
        <w:rPr>
          <w:b/>
        </w:rPr>
        <w:tab/>
      </w:r>
    </w:p>
    <w:p w14:paraId="6AE15287" w14:textId="17D7BF7F" w:rsidR="00EF43D7" w:rsidRDefault="0025150F" w:rsidP="00535B93">
      <w:pPr>
        <w:pStyle w:val="BodyText"/>
        <w:spacing w:after="240" w:line="276" w:lineRule="auto"/>
        <w:rPr>
          <w:sz w:val="23"/>
        </w:rPr>
      </w:pPr>
      <w:r w:rsidRPr="0025150F">
        <w:t xml:space="preserve">Qualified </w:t>
      </w:r>
      <w:r w:rsidR="00535B93">
        <w:t xml:space="preserve">rental property </w:t>
      </w:r>
      <w:r w:rsidRPr="0025150F">
        <w:t>owners that agree to keep a minimum percentage of units per building affordable to low</w:t>
      </w:r>
      <w:r w:rsidR="00535B93">
        <w:t>-</w:t>
      </w:r>
      <w:r w:rsidRPr="0025150F">
        <w:t xml:space="preserve"> and moderate</w:t>
      </w:r>
      <w:r w:rsidR="00535B93">
        <w:t>-</w:t>
      </w:r>
      <w:r w:rsidRPr="0025150F">
        <w:t xml:space="preserve"> income households for ten years, will receive</w:t>
      </w:r>
      <w:r w:rsidR="00535B93">
        <w:t xml:space="preserve"> a</w:t>
      </w:r>
      <w:r w:rsidRPr="0025150F">
        <w:t xml:space="preserve"> </w:t>
      </w:r>
      <w:r w:rsidRPr="00535B93">
        <w:rPr>
          <w:u w:val="single"/>
        </w:rPr>
        <w:t xml:space="preserve">10-year </w:t>
      </w:r>
      <w:r w:rsidR="00535B93">
        <w:rPr>
          <w:u w:val="single"/>
        </w:rPr>
        <w:t>certification</w:t>
      </w:r>
      <w:r w:rsidRPr="00535B93">
        <w:rPr>
          <w:u w:val="single"/>
        </w:rPr>
        <w:t xml:space="preserve"> for the </w:t>
      </w:r>
      <w:proofErr w:type="gramStart"/>
      <w:r w:rsidRPr="00535B93">
        <w:rPr>
          <w:u w:val="single"/>
        </w:rPr>
        <w:t>4(d) property</w:t>
      </w:r>
      <w:proofErr w:type="gramEnd"/>
      <w:r w:rsidRPr="00535B93">
        <w:rPr>
          <w:u w:val="single"/>
        </w:rPr>
        <w:t xml:space="preserve"> tax rate, which provides a 40% tax rate reductio</w:t>
      </w:r>
      <w:r w:rsidR="00A65E75" w:rsidRPr="00535B93">
        <w:rPr>
          <w:u w:val="single"/>
        </w:rPr>
        <w:t>n on qualifying units</w:t>
      </w:r>
      <w:r w:rsidR="00A65E75">
        <w:t>.</w:t>
      </w:r>
      <w:r w:rsidR="00A65E75">
        <w:rPr>
          <w:rStyle w:val="FootnoteReference"/>
        </w:rPr>
        <w:footnoteReference w:id="1"/>
      </w:r>
    </w:p>
    <w:p w14:paraId="5D5ACFED" w14:textId="7CF8FF56" w:rsidR="00D92158" w:rsidRPr="00535B93" w:rsidRDefault="00EF43D7" w:rsidP="00535B93">
      <w:pPr>
        <w:pStyle w:val="BodyText"/>
        <w:spacing w:line="276" w:lineRule="auto"/>
      </w:pPr>
      <w:r w:rsidRPr="00535B93">
        <w:t>Additional benefits include:</w:t>
      </w:r>
    </w:p>
    <w:p w14:paraId="64522E9A" w14:textId="351DE3EC" w:rsidR="00B91C4B" w:rsidRDefault="00B91C4B" w:rsidP="00535B93">
      <w:pPr>
        <w:pStyle w:val="BodyText"/>
        <w:numPr>
          <w:ilvl w:val="0"/>
          <w:numId w:val="10"/>
        </w:numPr>
        <w:spacing w:line="360" w:lineRule="auto"/>
      </w:pPr>
      <w:r>
        <w:t xml:space="preserve">City payment of first year application fee to the State of Minnesota for certification of the </w:t>
      </w:r>
      <w:proofErr w:type="gramStart"/>
      <w:r>
        <w:t>4(d) property</w:t>
      </w:r>
      <w:proofErr w:type="gramEnd"/>
      <w:r>
        <w:t xml:space="preserve"> tax classification</w:t>
      </w:r>
      <w:r>
        <w:rPr>
          <w:spacing w:val="-29"/>
        </w:rPr>
        <w:t xml:space="preserve"> </w:t>
      </w:r>
      <w:r>
        <w:t>($10/unit)</w:t>
      </w:r>
      <w:r w:rsidR="002003A0">
        <w:t>;</w:t>
      </w:r>
    </w:p>
    <w:p w14:paraId="3FD2BB89" w14:textId="1D3E6E19" w:rsidR="00B91C4B" w:rsidRDefault="00B91C4B" w:rsidP="00535B93">
      <w:pPr>
        <w:pStyle w:val="BodyText"/>
        <w:numPr>
          <w:ilvl w:val="0"/>
          <w:numId w:val="10"/>
        </w:numPr>
        <w:spacing w:line="360" w:lineRule="auto"/>
      </w:pPr>
      <w:r>
        <w:t xml:space="preserve">City </w:t>
      </w:r>
      <w:r w:rsidR="002003A0">
        <w:t>p</w:t>
      </w:r>
      <w:r>
        <w:t xml:space="preserve">ayment of the recording fee of the Declaration of </w:t>
      </w:r>
      <w:r w:rsidR="002003A0">
        <w:t>Re</w:t>
      </w:r>
      <w:r>
        <w:t xml:space="preserve">strictive </w:t>
      </w:r>
      <w:r w:rsidR="002003A0">
        <w:t>C</w:t>
      </w:r>
      <w:r>
        <w:t>ovenants</w:t>
      </w:r>
      <w:r w:rsidR="002003A0">
        <w:t xml:space="preserve"> on each qualifying property ($46/unit);</w:t>
      </w:r>
    </w:p>
    <w:p w14:paraId="12715EB3" w14:textId="03D16D37" w:rsidR="00B91C4B" w:rsidRPr="00CD6988" w:rsidRDefault="002003A0" w:rsidP="00535B93">
      <w:pPr>
        <w:pStyle w:val="BodyText"/>
        <w:numPr>
          <w:ilvl w:val="0"/>
          <w:numId w:val="10"/>
        </w:numPr>
        <w:spacing w:line="360" w:lineRule="auto"/>
      </w:pPr>
      <w:r>
        <w:t>City g</w:t>
      </w:r>
      <w:r w:rsidR="00B91C4B">
        <w:t xml:space="preserve">rant </w:t>
      </w:r>
      <w:r w:rsidR="0088660C">
        <w:t xml:space="preserve">funds </w:t>
      </w:r>
      <w:r>
        <w:t>to the owner for</w:t>
      </w:r>
      <w:r w:rsidR="00B91C4B">
        <w:t xml:space="preserve"> each 4(d)-certified unit</w:t>
      </w:r>
      <w:r>
        <w:t xml:space="preserve"> (amounts detailed below);</w:t>
      </w:r>
    </w:p>
    <w:p w14:paraId="224AAA08" w14:textId="63AD7108" w:rsidR="00B91C4B" w:rsidRDefault="00B91C4B" w:rsidP="00535B93">
      <w:pPr>
        <w:pStyle w:val="BodyText"/>
        <w:numPr>
          <w:ilvl w:val="0"/>
          <w:numId w:val="10"/>
        </w:numPr>
        <w:spacing w:line="276" w:lineRule="auto"/>
      </w:pPr>
      <w:r>
        <w:t xml:space="preserve">Reduced </w:t>
      </w:r>
      <w:r w:rsidRPr="00BE004A">
        <w:t>renter</w:t>
      </w:r>
      <w:r w:rsidRPr="00BE004A">
        <w:rPr>
          <w:spacing w:val="-4"/>
        </w:rPr>
        <w:t xml:space="preserve"> </w:t>
      </w:r>
      <w:r w:rsidRPr="00BE004A">
        <w:t>turnover</w:t>
      </w:r>
      <w:r>
        <w:t xml:space="preserve"> due to tenant stability</w:t>
      </w:r>
      <w:r w:rsidR="002003A0">
        <w:t>.</w:t>
      </w:r>
    </w:p>
    <w:p w14:paraId="27E1F821" w14:textId="77777777" w:rsidR="00EF43D7" w:rsidRDefault="00EF43D7" w:rsidP="00535B93">
      <w:pPr>
        <w:pStyle w:val="BodyText"/>
        <w:spacing w:line="276" w:lineRule="auto"/>
      </w:pPr>
    </w:p>
    <w:p w14:paraId="22F8C7F5" w14:textId="6CE43E20" w:rsidR="00EF43D7" w:rsidRDefault="00EF43D7" w:rsidP="00535B93">
      <w:pPr>
        <w:pStyle w:val="BodyText"/>
        <w:spacing w:line="276" w:lineRule="auto"/>
      </w:pPr>
    </w:p>
    <w:p w14:paraId="0B304864" w14:textId="2D526434" w:rsidR="00535B93" w:rsidRDefault="00535B93" w:rsidP="00535B93">
      <w:pPr>
        <w:pStyle w:val="BodyText"/>
        <w:spacing w:line="276" w:lineRule="auto"/>
      </w:pPr>
    </w:p>
    <w:p w14:paraId="4CDAF5BB" w14:textId="77777777" w:rsidR="00535B93" w:rsidRDefault="00535B93" w:rsidP="00535B93">
      <w:pPr>
        <w:pStyle w:val="BodyText"/>
        <w:spacing w:line="276" w:lineRule="auto"/>
      </w:pPr>
    </w:p>
    <w:p w14:paraId="79AB0F1A" w14:textId="6ECDEC04" w:rsidR="00D92158" w:rsidRPr="00535B93" w:rsidRDefault="0025150F" w:rsidP="00535B93">
      <w:pPr>
        <w:pStyle w:val="BodyText"/>
        <w:spacing w:line="276" w:lineRule="auto"/>
        <w:rPr>
          <w:b/>
        </w:rPr>
      </w:pPr>
      <w:r w:rsidRPr="00535B93">
        <w:rPr>
          <w:b/>
        </w:rPr>
        <w:lastRenderedPageBreak/>
        <w:t>Who is e</w:t>
      </w:r>
      <w:r w:rsidR="00265A6A" w:rsidRPr="00535B93">
        <w:rPr>
          <w:b/>
        </w:rPr>
        <w:t>ligib</w:t>
      </w:r>
      <w:r w:rsidRPr="00535B93">
        <w:rPr>
          <w:b/>
        </w:rPr>
        <w:t>le</w:t>
      </w:r>
      <w:r w:rsidR="00535B93" w:rsidRPr="00535B93">
        <w:rPr>
          <w:b/>
        </w:rPr>
        <w:t>?</w:t>
      </w:r>
    </w:p>
    <w:p w14:paraId="3E426AB0" w14:textId="77777777" w:rsidR="00265A6A" w:rsidRDefault="00265A6A" w:rsidP="00535B93">
      <w:pPr>
        <w:pStyle w:val="BodyText"/>
        <w:spacing w:line="276" w:lineRule="auto"/>
      </w:pPr>
    </w:p>
    <w:p w14:paraId="6C4D12FF" w14:textId="3CD5087B" w:rsidR="00EF43D7" w:rsidRDefault="00EF43D7" w:rsidP="00535B93">
      <w:pPr>
        <w:pStyle w:val="BodyText"/>
        <w:spacing w:after="240" w:line="276" w:lineRule="auto"/>
      </w:pPr>
      <w:r w:rsidRPr="00E5498C">
        <w:t>Owners of market-rate</w:t>
      </w:r>
      <w:r w:rsidR="00D92158">
        <w:t xml:space="preserve">, </w:t>
      </w:r>
      <w:r w:rsidR="00463679">
        <w:t xml:space="preserve">single-family and </w:t>
      </w:r>
      <w:r w:rsidRPr="00E5498C">
        <w:t>multi</w:t>
      </w:r>
      <w:r w:rsidR="00D92158">
        <w:t>-</w:t>
      </w:r>
      <w:r w:rsidRPr="00E5498C">
        <w:t>family</w:t>
      </w:r>
      <w:r w:rsidR="00535B93">
        <w:t xml:space="preserve"> rental</w:t>
      </w:r>
      <w:r w:rsidRPr="00E5498C">
        <w:t xml:space="preserve"> properties that meet the following criteria</w:t>
      </w:r>
      <w:r w:rsidR="00535B93">
        <w:t xml:space="preserve"> may qualify for 4(d) </w:t>
      </w:r>
      <w:proofErr w:type="gramStart"/>
      <w:r w:rsidR="00535B93">
        <w:t>certification</w:t>
      </w:r>
      <w:proofErr w:type="gramEnd"/>
      <w:r w:rsidR="00535B93">
        <w:t>:</w:t>
      </w:r>
    </w:p>
    <w:p w14:paraId="021D4EAD" w14:textId="0F15A4B2" w:rsidR="0025150F" w:rsidRPr="0088660C" w:rsidRDefault="00535B93" w:rsidP="00535B93">
      <w:pPr>
        <w:pStyle w:val="BodyText"/>
        <w:numPr>
          <w:ilvl w:val="0"/>
          <w:numId w:val="11"/>
        </w:numPr>
        <w:spacing w:after="120" w:line="276" w:lineRule="auto"/>
        <w:rPr>
          <w:rFonts w:asciiTheme="minorHAnsi" w:hAnsiTheme="minorHAnsi" w:cstheme="minorHAnsi"/>
        </w:rPr>
      </w:pPr>
      <w:r>
        <w:rPr>
          <w:rFonts w:asciiTheme="minorHAnsi" w:hAnsiTheme="minorHAnsi" w:cstheme="minorHAnsi"/>
        </w:rPr>
        <w:t>A m</w:t>
      </w:r>
      <w:r w:rsidR="0025150F" w:rsidRPr="0088660C">
        <w:rPr>
          <w:rFonts w:asciiTheme="minorHAnsi" w:hAnsiTheme="minorHAnsi" w:cstheme="minorHAnsi"/>
        </w:rPr>
        <w:t>inimum percentage of units for low- and moderate-income households are set aside according to one of the following options:</w:t>
      </w:r>
    </w:p>
    <w:p w14:paraId="65AFA2D4" w14:textId="001AD9F4" w:rsidR="00463679" w:rsidRPr="0088660C" w:rsidRDefault="0025150F" w:rsidP="00535B93">
      <w:pPr>
        <w:pStyle w:val="BodyText"/>
        <w:numPr>
          <w:ilvl w:val="1"/>
          <w:numId w:val="11"/>
        </w:numPr>
        <w:spacing w:after="120" w:line="276" w:lineRule="auto"/>
        <w:rPr>
          <w:rFonts w:ascii="Symbol"/>
        </w:rPr>
      </w:pPr>
      <w:r>
        <w:t xml:space="preserve">Option1: </w:t>
      </w:r>
      <w:r w:rsidR="00463679">
        <w:t>At least 20% of the rental units in a building are occupied by and affordable to households</w:t>
      </w:r>
      <w:r w:rsidR="00265A6A">
        <w:t xml:space="preserve"> </w:t>
      </w:r>
      <w:r>
        <w:t>whose</w:t>
      </w:r>
      <w:r w:rsidR="00265A6A">
        <w:t xml:space="preserve"> </w:t>
      </w:r>
      <w:r w:rsidR="00463679">
        <w:t xml:space="preserve">income </w:t>
      </w:r>
      <w:r>
        <w:t>is</w:t>
      </w:r>
      <w:r w:rsidR="00463679">
        <w:t xml:space="preserve"> at or below 50% of </w:t>
      </w:r>
      <w:r w:rsidR="00463679" w:rsidRPr="00E5498C">
        <w:t>the</w:t>
      </w:r>
      <w:r w:rsidR="00265A6A">
        <w:t xml:space="preserve"> </w:t>
      </w:r>
      <w:r w:rsidR="003D0279">
        <w:t>a</w:t>
      </w:r>
      <w:r>
        <w:t>rea Median Income (</w:t>
      </w:r>
      <w:r w:rsidR="00D92158">
        <w:t>AMI</w:t>
      </w:r>
      <w:r>
        <w:t>)</w:t>
      </w:r>
      <w:r w:rsidR="00463679">
        <w:t>; or</w:t>
      </w:r>
    </w:p>
    <w:p w14:paraId="7E0B6A89" w14:textId="47E5016A" w:rsidR="001C19C8" w:rsidRDefault="0025150F" w:rsidP="00535B93">
      <w:pPr>
        <w:pStyle w:val="BodyText"/>
        <w:numPr>
          <w:ilvl w:val="1"/>
          <w:numId w:val="11"/>
        </w:numPr>
        <w:spacing w:after="120" w:line="276" w:lineRule="auto"/>
      </w:pPr>
      <w:r>
        <w:t>Option 2:</w:t>
      </w:r>
      <w:r w:rsidR="003D0279">
        <w:t xml:space="preserve"> </w:t>
      </w:r>
      <w:r w:rsidR="00463679">
        <w:t xml:space="preserve">At least 50% of the rental units in a building are occupied by and affordable to </w:t>
      </w:r>
      <w:r>
        <w:t xml:space="preserve">households whose income is at or below </w:t>
      </w:r>
      <w:r w:rsidR="00A20583">
        <w:t>6</w:t>
      </w:r>
      <w:r>
        <w:t xml:space="preserve">0% of </w:t>
      </w:r>
      <w:r w:rsidRPr="00E5498C">
        <w:t>the</w:t>
      </w:r>
      <w:r>
        <w:t xml:space="preserve"> Area Median Income (AMI).</w:t>
      </w:r>
    </w:p>
    <w:p w14:paraId="170308DA" w14:textId="58B78478" w:rsidR="001C19C8" w:rsidRPr="00FE1215" w:rsidRDefault="001C19C8" w:rsidP="00535B93">
      <w:pPr>
        <w:pStyle w:val="BodyText"/>
        <w:numPr>
          <w:ilvl w:val="1"/>
          <w:numId w:val="11"/>
        </w:numPr>
        <w:spacing w:after="120" w:line="276" w:lineRule="auto"/>
        <w:rPr>
          <w:rFonts w:ascii="Symbol"/>
        </w:rPr>
      </w:pPr>
      <w:r>
        <w:t xml:space="preserve">For single-unit rental properties, the owner must agree to restrict the unit to </w:t>
      </w:r>
      <w:r w:rsidR="00535B93">
        <w:t xml:space="preserve">an affordability level of </w:t>
      </w:r>
      <w:r>
        <w:t xml:space="preserve">50% AMI; for rental properties containing two units, at least one of the units must be restricted to 50% AMI. </w:t>
      </w:r>
    </w:p>
    <w:p w14:paraId="0CD09AE4" w14:textId="6593A687" w:rsidR="00535B93" w:rsidRPr="00535B93" w:rsidRDefault="00535B93" w:rsidP="00535B93">
      <w:pPr>
        <w:pStyle w:val="BodyText"/>
        <w:numPr>
          <w:ilvl w:val="0"/>
          <w:numId w:val="11"/>
        </w:numPr>
        <w:spacing w:after="120" w:line="276" w:lineRule="auto"/>
        <w:rPr>
          <w:rFonts w:ascii="Symbol"/>
        </w:rPr>
      </w:pPr>
      <w:r w:rsidRPr="00E5498C">
        <w:t>Existing tenants in units</w:t>
      </w:r>
      <w:r>
        <w:t xml:space="preserve"> at the time of 4(d) certification</w:t>
      </w:r>
      <w:r w:rsidRPr="00E5498C">
        <w:t xml:space="preserve"> do not</w:t>
      </w:r>
      <w:r w:rsidRPr="00535B93">
        <w:rPr>
          <w:spacing w:val="-22"/>
        </w:rPr>
        <w:t xml:space="preserve"> </w:t>
      </w:r>
      <w:r w:rsidRPr="00E5498C">
        <w:t>need to be income</w:t>
      </w:r>
      <w:r w:rsidRPr="00535B93">
        <w:rPr>
          <w:spacing w:val="-2"/>
        </w:rPr>
        <w:t xml:space="preserve"> </w:t>
      </w:r>
      <w:r w:rsidRPr="00E5498C">
        <w:t>qualified</w:t>
      </w:r>
      <w:r>
        <w:t>.</w:t>
      </w:r>
    </w:p>
    <w:p w14:paraId="602406AD" w14:textId="29244A40" w:rsidR="003A2405" w:rsidRPr="003A2405" w:rsidRDefault="00535B93" w:rsidP="003A2405">
      <w:pPr>
        <w:pStyle w:val="BodyText"/>
        <w:numPr>
          <w:ilvl w:val="0"/>
          <w:numId w:val="11"/>
        </w:numPr>
        <w:spacing w:after="120" w:line="276" w:lineRule="auto"/>
        <w:rPr>
          <w:rFonts w:ascii="Symbol"/>
        </w:rPr>
      </w:pPr>
      <w:r>
        <w:t>New tenants in 4(d)-certified units after the property’s enrollment in the program</w:t>
      </w:r>
      <w:r w:rsidR="003A2405">
        <w:t>,</w:t>
      </w:r>
      <w:r>
        <w:t xml:space="preserve"> however</w:t>
      </w:r>
      <w:r w:rsidR="003A2405">
        <w:t>,</w:t>
      </w:r>
      <w:r>
        <w:t xml:space="preserve"> must not have a household income greater than the affordability level </w:t>
      </w:r>
      <w:r w:rsidR="003A2405">
        <w:t>designated by the restricted units (i.e. new tenants moving into a unit restricted at a maximum rent affordable to 50% of AMI must not have a household income greater than 50% of AMI).  Income qualification is determined upon initial occupancy—thereafter, increased incomes of tenants in 4(d) units will not violate program requirements.</w:t>
      </w:r>
    </w:p>
    <w:p w14:paraId="1072C2BC" w14:textId="77777777" w:rsidR="003A2405" w:rsidRPr="0088660C" w:rsidRDefault="003A2405" w:rsidP="003A2405">
      <w:pPr>
        <w:pStyle w:val="BodyText"/>
        <w:numPr>
          <w:ilvl w:val="0"/>
          <w:numId w:val="11"/>
        </w:numPr>
        <w:spacing w:after="120" w:line="276" w:lineRule="auto"/>
        <w:rPr>
          <w:rFonts w:ascii="Symbol"/>
        </w:rPr>
      </w:pPr>
      <w:r w:rsidRPr="0088660C">
        <w:t>Qualified single-family rental unit owner must sign a Declaration of Restriction allowing the sale at any time to an eligible homebuyer at 80% AMI or less</w:t>
      </w:r>
      <w:r>
        <w:t>.</w:t>
      </w:r>
    </w:p>
    <w:p w14:paraId="43B04B09" w14:textId="77777777" w:rsidR="003A2405" w:rsidRPr="001C19C8" w:rsidRDefault="003A2405" w:rsidP="003A2405">
      <w:pPr>
        <w:pStyle w:val="BodyText"/>
        <w:numPr>
          <w:ilvl w:val="0"/>
          <w:numId w:val="11"/>
        </w:numPr>
        <w:spacing w:after="120" w:line="276" w:lineRule="auto"/>
        <w:rPr>
          <w:rFonts w:ascii="Symbol"/>
        </w:rPr>
      </w:pPr>
      <w:r w:rsidRPr="00E5498C">
        <w:t xml:space="preserve">Buildings </w:t>
      </w:r>
      <w:r>
        <w:t>can</w:t>
      </w:r>
      <w:r w:rsidRPr="00E5498C">
        <w:t xml:space="preserve"> include</w:t>
      </w:r>
      <w:r>
        <w:t xml:space="preserve"> </w:t>
      </w:r>
      <w:r w:rsidRPr="00E5498C">
        <w:t>units with owner occupants, but only rental units are eligible for 4</w:t>
      </w:r>
      <w:r>
        <w:t>(</w:t>
      </w:r>
      <w:r w:rsidRPr="00E5498C">
        <w:t>d</w:t>
      </w:r>
      <w:r>
        <w:t>)</w:t>
      </w:r>
      <w:r w:rsidRPr="00E5498C">
        <w:t xml:space="preserve"> tax</w:t>
      </w:r>
      <w:r w:rsidRPr="00E5498C">
        <w:rPr>
          <w:spacing w:val="-5"/>
        </w:rPr>
        <w:t xml:space="preserve"> </w:t>
      </w:r>
      <w:r w:rsidRPr="00E5498C">
        <w:t>status</w:t>
      </w:r>
      <w:r>
        <w:t xml:space="preserve"> and the property may lose its homestead status, if applicable.</w:t>
      </w:r>
    </w:p>
    <w:p w14:paraId="500239D8" w14:textId="5F3EF25A" w:rsidR="003A2405" w:rsidRPr="001C19C8" w:rsidRDefault="003A2405" w:rsidP="003A2405">
      <w:pPr>
        <w:pStyle w:val="BodyText"/>
        <w:numPr>
          <w:ilvl w:val="0"/>
          <w:numId w:val="11"/>
        </w:numPr>
        <w:spacing w:after="120" w:line="276" w:lineRule="auto"/>
        <w:rPr>
          <w:rFonts w:ascii="Symbol"/>
        </w:rPr>
      </w:pPr>
      <w:r>
        <w:t>Rental units must be graded A or B by the City Department of Safety and Inspection (DSI)</w:t>
      </w:r>
      <w:r w:rsidRPr="00E5498C">
        <w:t xml:space="preserve"> with no rental housing license revocations or outstanding </w:t>
      </w:r>
      <w:r>
        <w:rPr>
          <w:spacing w:val="-5"/>
        </w:rPr>
        <w:t>citations</w:t>
      </w:r>
      <w:r w:rsidRPr="00E5498C">
        <w:t>.</w:t>
      </w:r>
    </w:p>
    <w:p w14:paraId="3F815CA3" w14:textId="77777777" w:rsidR="00EF43D7" w:rsidRDefault="00EF43D7" w:rsidP="00535B93">
      <w:pPr>
        <w:pStyle w:val="BodyText"/>
        <w:spacing w:line="276" w:lineRule="auto"/>
        <w:rPr>
          <w:sz w:val="27"/>
        </w:rPr>
      </w:pPr>
    </w:p>
    <w:p w14:paraId="268ED59F" w14:textId="77777777" w:rsidR="001C19C8" w:rsidRDefault="001C19C8" w:rsidP="00535B93">
      <w:pPr>
        <w:pStyle w:val="BodyText"/>
        <w:spacing w:line="276" w:lineRule="auto"/>
      </w:pPr>
      <w:r>
        <w:t xml:space="preserve">The City will receive and review applications on an annual basis. Properties will be selected based on City goals of preserving housing affordability in neighborhoods throughout the City as well as affordability level proposed, subject to the availability of City grant funds. </w:t>
      </w:r>
    </w:p>
    <w:p w14:paraId="7EFD7025" w14:textId="77777777" w:rsidR="00EF43D7" w:rsidRDefault="00EF43D7" w:rsidP="00535B93">
      <w:pPr>
        <w:pStyle w:val="BodyText"/>
        <w:spacing w:line="276" w:lineRule="auto"/>
        <w:rPr>
          <w:sz w:val="26"/>
        </w:rPr>
      </w:pPr>
    </w:p>
    <w:p w14:paraId="13870B60" w14:textId="0CE45751" w:rsidR="00EF43D7" w:rsidRPr="003A2405" w:rsidRDefault="00EF43D7" w:rsidP="00535B93">
      <w:pPr>
        <w:pStyle w:val="BodyText"/>
        <w:spacing w:line="276" w:lineRule="auto"/>
      </w:pPr>
      <w:r w:rsidRPr="003A2405">
        <w:rPr>
          <w:b/>
        </w:rPr>
        <w:t>Note</w:t>
      </w:r>
      <w:r>
        <w:t xml:space="preserve">: </w:t>
      </w:r>
      <w:r w:rsidR="001C19C8">
        <w:t>The City reserves the right to deny applications for the 4(d) Incentive Program if the owner or property manager applying owns or manages other properties graded C or D by DSI, or if other properties have rental housing license revocations or outstanding citations.</w:t>
      </w:r>
    </w:p>
    <w:p w14:paraId="3ECC2B28" w14:textId="7AAB36D9" w:rsidR="00EF43D7" w:rsidRPr="003A2405" w:rsidRDefault="00EF43D7" w:rsidP="003A2405">
      <w:pPr>
        <w:pStyle w:val="BodyText"/>
        <w:spacing w:after="240" w:line="276" w:lineRule="auto"/>
        <w:rPr>
          <w:b/>
        </w:rPr>
      </w:pPr>
      <w:r w:rsidRPr="003A2405">
        <w:rPr>
          <w:b/>
        </w:rPr>
        <w:lastRenderedPageBreak/>
        <w:t xml:space="preserve">Process and </w:t>
      </w:r>
      <w:r w:rsidR="00B90814" w:rsidRPr="003A2405">
        <w:rPr>
          <w:b/>
        </w:rPr>
        <w:t>P</w:t>
      </w:r>
      <w:r w:rsidRPr="003A2405">
        <w:rPr>
          <w:b/>
        </w:rPr>
        <w:t xml:space="preserve">rogram </w:t>
      </w:r>
      <w:r w:rsidR="00B90814" w:rsidRPr="003A2405">
        <w:rPr>
          <w:b/>
        </w:rPr>
        <w:t>R</w:t>
      </w:r>
      <w:r w:rsidRPr="003A2405">
        <w:rPr>
          <w:b/>
        </w:rPr>
        <w:t>equirements:</w:t>
      </w:r>
    </w:p>
    <w:p w14:paraId="3216D551" w14:textId="77777777" w:rsidR="00A65E75" w:rsidRPr="00E5498C" w:rsidRDefault="00A65E75" w:rsidP="003A2405">
      <w:pPr>
        <w:pStyle w:val="BodyText"/>
        <w:numPr>
          <w:ilvl w:val="0"/>
          <w:numId w:val="12"/>
        </w:numPr>
        <w:spacing w:after="120" w:line="276" w:lineRule="auto"/>
        <w:rPr>
          <w:rFonts w:ascii="Symbol"/>
        </w:rPr>
      </w:pPr>
      <w:r w:rsidRPr="00E5498C">
        <w:t xml:space="preserve">Property Owners will submit a </w:t>
      </w:r>
      <w:proofErr w:type="gramStart"/>
      <w:r w:rsidRPr="00E5498C">
        <w:t>4</w:t>
      </w:r>
      <w:r>
        <w:t>(</w:t>
      </w:r>
      <w:r w:rsidRPr="00E5498C">
        <w:t>d</w:t>
      </w:r>
      <w:r>
        <w:t>)</w:t>
      </w:r>
      <w:r w:rsidRPr="00E5498C">
        <w:t xml:space="preserve"> program</w:t>
      </w:r>
      <w:proofErr w:type="gramEnd"/>
      <w:r w:rsidRPr="00E5498C">
        <w:t xml:space="preserve"> application and rent roll, and sign a Participation Agreement with the City. The Participation Agreement includes a commitment to accept tenant</w:t>
      </w:r>
      <w:r>
        <w:t>-based</w:t>
      </w:r>
      <w:r w:rsidRPr="00E5498C">
        <w:t xml:space="preserve"> assistance and affirmative fair marketing, and prohibits involuntary displacement of existing</w:t>
      </w:r>
      <w:r w:rsidRPr="00E5498C">
        <w:rPr>
          <w:spacing w:val="-6"/>
        </w:rPr>
        <w:t xml:space="preserve"> </w:t>
      </w:r>
      <w:r w:rsidRPr="00E5498C">
        <w:t>tenants.</w:t>
      </w:r>
    </w:p>
    <w:p w14:paraId="31025D24" w14:textId="53559505" w:rsidR="00A65E75" w:rsidRPr="00DD6E31" w:rsidRDefault="00A65E75" w:rsidP="003A2405">
      <w:pPr>
        <w:pStyle w:val="BodyText"/>
        <w:numPr>
          <w:ilvl w:val="0"/>
          <w:numId w:val="12"/>
        </w:numPr>
        <w:spacing w:after="120" w:line="276" w:lineRule="auto"/>
        <w:rPr>
          <w:rFonts w:ascii="Symbol"/>
        </w:rPr>
      </w:pPr>
      <w:r w:rsidRPr="00E5498C">
        <w:t xml:space="preserve">The </w:t>
      </w:r>
      <w:r w:rsidRPr="00E5498C">
        <w:rPr>
          <w:spacing w:val="-3"/>
        </w:rPr>
        <w:t xml:space="preserve">City will draft </w:t>
      </w:r>
      <w:r w:rsidRPr="00E5498C">
        <w:t xml:space="preserve">and </w:t>
      </w:r>
      <w:r w:rsidRPr="00E5498C">
        <w:rPr>
          <w:spacing w:val="-3"/>
        </w:rPr>
        <w:t xml:space="preserve">record </w:t>
      </w:r>
      <w:r w:rsidRPr="00E5498C">
        <w:t xml:space="preserve">a </w:t>
      </w:r>
      <w:r w:rsidR="003A2405">
        <w:rPr>
          <w:spacing w:val="-3"/>
        </w:rPr>
        <w:t>D</w:t>
      </w:r>
      <w:r w:rsidRPr="00E5498C">
        <w:rPr>
          <w:spacing w:val="-3"/>
        </w:rPr>
        <w:t xml:space="preserve">eclaration against </w:t>
      </w:r>
      <w:r w:rsidRPr="00E5498C">
        <w:t xml:space="preserve">the </w:t>
      </w:r>
      <w:r w:rsidRPr="00E5498C">
        <w:rPr>
          <w:spacing w:val="-3"/>
        </w:rPr>
        <w:t xml:space="preserve">property that limits the rents </w:t>
      </w:r>
      <w:r w:rsidRPr="00E5498C">
        <w:t xml:space="preserve">and </w:t>
      </w:r>
      <w:r w:rsidRPr="00E5498C">
        <w:rPr>
          <w:spacing w:val="-3"/>
        </w:rPr>
        <w:t xml:space="preserve">incomes </w:t>
      </w:r>
      <w:r w:rsidRPr="00E5498C">
        <w:t xml:space="preserve">on the </w:t>
      </w:r>
      <w:r w:rsidRPr="00E5498C">
        <w:rPr>
          <w:spacing w:val="-3"/>
        </w:rPr>
        <w:t xml:space="preserve">qualified units </w:t>
      </w:r>
      <w:r w:rsidRPr="00E5498C">
        <w:t xml:space="preserve">for 10 </w:t>
      </w:r>
      <w:r w:rsidRPr="00E5498C">
        <w:rPr>
          <w:spacing w:val="-3"/>
        </w:rPr>
        <w:t xml:space="preserve">years </w:t>
      </w:r>
      <w:r w:rsidRPr="00E5498C">
        <w:t xml:space="preserve">(a recorded </w:t>
      </w:r>
      <w:r w:rsidRPr="00E5498C">
        <w:rPr>
          <w:spacing w:val="-3"/>
        </w:rPr>
        <w:t xml:space="preserve">document is required </w:t>
      </w:r>
      <w:r w:rsidRPr="00E5498C">
        <w:t>for 4</w:t>
      </w:r>
      <w:r>
        <w:t>(</w:t>
      </w:r>
      <w:r w:rsidRPr="00E5498C">
        <w:t>d</w:t>
      </w:r>
      <w:r>
        <w:t>)</w:t>
      </w:r>
      <w:r w:rsidRPr="00E5498C">
        <w:t xml:space="preserve"> tax </w:t>
      </w:r>
      <w:r w:rsidRPr="00E5498C">
        <w:rPr>
          <w:spacing w:val="-3"/>
        </w:rPr>
        <w:t xml:space="preserve">classification status). </w:t>
      </w:r>
      <w:r w:rsidRPr="00E5498C">
        <w:t xml:space="preserve">The </w:t>
      </w:r>
      <w:r w:rsidRPr="00E5498C">
        <w:rPr>
          <w:spacing w:val="-3"/>
        </w:rPr>
        <w:t xml:space="preserve">declaration also limits rent increases </w:t>
      </w:r>
      <w:r w:rsidRPr="00E5498C">
        <w:t xml:space="preserve">for </w:t>
      </w:r>
      <w:r w:rsidRPr="00E5498C">
        <w:rPr>
          <w:spacing w:val="-3"/>
        </w:rPr>
        <w:t xml:space="preserve">tenants </w:t>
      </w:r>
      <w:r w:rsidRPr="00E5498C">
        <w:t xml:space="preserve">in </w:t>
      </w:r>
      <w:r w:rsidRPr="00E5498C">
        <w:rPr>
          <w:spacing w:val="-3"/>
        </w:rPr>
        <w:t xml:space="preserve">affordable units </w:t>
      </w:r>
      <w:r w:rsidRPr="00E5498C">
        <w:t xml:space="preserve">to </w:t>
      </w:r>
      <w:r>
        <w:t>3</w:t>
      </w:r>
      <w:r w:rsidRPr="00E5498C">
        <w:t xml:space="preserve">% or </w:t>
      </w:r>
      <w:r w:rsidRPr="00E5498C">
        <w:rPr>
          <w:spacing w:val="-3"/>
        </w:rPr>
        <w:t xml:space="preserve">less annually, unless </w:t>
      </w:r>
      <w:r w:rsidRPr="00E5498C">
        <w:t xml:space="preserve">the </w:t>
      </w:r>
      <w:r w:rsidRPr="00E5498C">
        <w:rPr>
          <w:spacing w:val="-3"/>
        </w:rPr>
        <w:t xml:space="preserve">unit is turning over </w:t>
      </w:r>
      <w:r w:rsidRPr="00E5498C">
        <w:t xml:space="preserve">to a new </w:t>
      </w:r>
      <w:r w:rsidRPr="00E5498C">
        <w:rPr>
          <w:spacing w:val="-3"/>
        </w:rPr>
        <w:t xml:space="preserve">tenant </w:t>
      </w:r>
      <w:r w:rsidRPr="00E5498C">
        <w:t xml:space="preserve">or the </w:t>
      </w:r>
      <w:r w:rsidRPr="00E5498C">
        <w:rPr>
          <w:spacing w:val="-3"/>
        </w:rPr>
        <w:t xml:space="preserve">owner provides </w:t>
      </w:r>
      <w:r w:rsidRPr="00E5498C">
        <w:t xml:space="preserve">evidence </w:t>
      </w:r>
      <w:r w:rsidRPr="00E5498C">
        <w:rPr>
          <w:spacing w:val="-3"/>
        </w:rPr>
        <w:t xml:space="preserve">that </w:t>
      </w:r>
      <w:r w:rsidRPr="00E5498C">
        <w:t xml:space="preserve">a </w:t>
      </w:r>
      <w:r w:rsidRPr="00E5498C">
        <w:rPr>
          <w:spacing w:val="-3"/>
        </w:rPr>
        <w:t xml:space="preserve">larger rent increase </w:t>
      </w:r>
      <w:r w:rsidRPr="00E5498C">
        <w:t xml:space="preserve">is </w:t>
      </w:r>
      <w:r w:rsidRPr="00E5498C">
        <w:rPr>
          <w:spacing w:val="-3"/>
        </w:rPr>
        <w:t xml:space="preserve">needed </w:t>
      </w:r>
      <w:r w:rsidRPr="00E5498C">
        <w:t xml:space="preserve">to </w:t>
      </w:r>
      <w:r w:rsidRPr="00E5498C">
        <w:rPr>
          <w:spacing w:val="-3"/>
        </w:rPr>
        <w:t xml:space="preserve">address deferred maintenance </w:t>
      </w:r>
      <w:r w:rsidRPr="00E5498C">
        <w:t xml:space="preserve">or </w:t>
      </w:r>
      <w:r w:rsidRPr="00E5498C">
        <w:rPr>
          <w:spacing w:val="-3"/>
        </w:rPr>
        <w:t>unanticipated operating cost</w:t>
      </w:r>
      <w:r w:rsidRPr="00E5498C">
        <w:rPr>
          <w:spacing w:val="-2"/>
        </w:rPr>
        <w:t xml:space="preserve"> </w:t>
      </w:r>
      <w:r w:rsidRPr="00E5498C">
        <w:rPr>
          <w:spacing w:val="-3"/>
        </w:rPr>
        <w:t>increases.</w:t>
      </w:r>
    </w:p>
    <w:p w14:paraId="19216989" w14:textId="77777777" w:rsidR="003A2405" w:rsidRPr="00DD6E31" w:rsidRDefault="003A2405" w:rsidP="003A2405">
      <w:pPr>
        <w:pStyle w:val="BodyText"/>
        <w:numPr>
          <w:ilvl w:val="0"/>
          <w:numId w:val="12"/>
        </w:numPr>
        <w:spacing w:after="120" w:line="276" w:lineRule="auto"/>
        <w:rPr>
          <w:rFonts w:ascii="Symbol"/>
        </w:rPr>
      </w:pPr>
      <w:r>
        <w:t xml:space="preserve">Property </w:t>
      </w:r>
      <w:r w:rsidRPr="00E5498C">
        <w:t>owners will sign a 4</w:t>
      </w:r>
      <w:r>
        <w:t>(</w:t>
      </w:r>
      <w:r w:rsidRPr="00E5498C">
        <w:t>d</w:t>
      </w:r>
      <w:r>
        <w:t>)</w:t>
      </w:r>
      <w:r w:rsidRPr="00E5498C">
        <w:t xml:space="preserve"> application</w:t>
      </w:r>
      <w:r>
        <w:t xml:space="preserve"> to the Minnesota Housing Finance Agency</w:t>
      </w:r>
      <w:r w:rsidRPr="00E5498C">
        <w:t xml:space="preserve"> </w:t>
      </w:r>
      <w:r>
        <w:t>along with the</w:t>
      </w:r>
      <w:r w:rsidRPr="00E5498C">
        <w:t xml:space="preserve"> </w:t>
      </w:r>
      <w:r>
        <w:t>D</w:t>
      </w:r>
      <w:r w:rsidRPr="00E5498C">
        <w:t>eclaration.</w:t>
      </w:r>
    </w:p>
    <w:p w14:paraId="44F1BD51" w14:textId="77777777" w:rsidR="00A65E75" w:rsidRDefault="00A65E75" w:rsidP="003A2405">
      <w:pPr>
        <w:pStyle w:val="BodyText"/>
        <w:numPr>
          <w:ilvl w:val="0"/>
          <w:numId w:val="12"/>
        </w:numPr>
        <w:spacing w:after="120" w:line="276" w:lineRule="auto"/>
      </w:pPr>
      <w:r>
        <w:t xml:space="preserve">The </w:t>
      </w:r>
      <w:r w:rsidRPr="00A37410">
        <w:t>City will provide a grant to each 4(d)-certified property, in the amount</w:t>
      </w:r>
      <w:r>
        <w:t xml:space="preserve"> per qualified unit</w:t>
      </w:r>
      <w:r w:rsidRPr="00A37410">
        <w:t xml:space="preserve"> of </w:t>
      </w:r>
    </w:p>
    <w:p w14:paraId="08F8B45B" w14:textId="77777777" w:rsidR="00A65E75" w:rsidRDefault="00A65E75" w:rsidP="003A2405">
      <w:pPr>
        <w:pStyle w:val="BodyText"/>
        <w:numPr>
          <w:ilvl w:val="1"/>
          <w:numId w:val="12"/>
        </w:numPr>
        <w:spacing w:after="120" w:line="276" w:lineRule="auto"/>
      </w:pPr>
      <w:r w:rsidRPr="00FE1215">
        <w:t>$75 for units with rents and incomes restricted at 60% AMI</w:t>
      </w:r>
      <w:r w:rsidRPr="00A37410">
        <w:t xml:space="preserve"> </w:t>
      </w:r>
    </w:p>
    <w:p w14:paraId="482BB810" w14:textId="77777777" w:rsidR="00A65E75" w:rsidRDefault="00A65E75" w:rsidP="003A2405">
      <w:pPr>
        <w:pStyle w:val="BodyText"/>
        <w:numPr>
          <w:ilvl w:val="1"/>
          <w:numId w:val="12"/>
        </w:numPr>
        <w:spacing w:after="120" w:line="276" w:lineRule="auto"/>
      </w:pPr>
      <w:r w:rsidRPr="00A37410">
        <w:t>$100 for units with rents and incomes restricted at 50% AMI</w:t>
      </w:r>
    </w:p>
    <w:p w14:paraId="50410FB5" w14:textId="77777777" w:rsidR="00A65E75" w:rsidRPr="00FE1215" w:rsidRDefault="00A65E75" w:rsidP="003A2405">
      <w:pPr>
        <w:pStyle w:val="BodyText"/>
        <w:numPr>
          <w:ilvl w:val="1"/>
          <w:numId w:val="12"/>
        </w:numPr>
        <w:spacing w:after="120" w:line="276" w:lineRule="auto"/>
      </w:pPr>
      <w:r>
        <w:t xml:space="preserve">The total grant is capped at $1,000 per multifamily property and owners of </w:t>
      </w:r>
      <w:r w:rsidRPr="00A37410">
        <w:t>multiple single-family rental properties</w:t>
      </w:r>
      <w:r>
        <w:t xml:space="preserve">. </w:t>
      </w:r>
      <w:r w:rsidRPr="00FE1215">
        <w:t>This funding is intended to help property owners cover the cost of 4(d) administrative and reporting requirements associated with the program, as well as to help owners make health, safety and energy efficiency improvements to properties.</w:t>
      </w:r>
    </w:p>
    <w:p w14:paraId="395B12D3" w14:textId="03144482" w:rsidR="00A65E75" w:rsidRPr="00DD6E31" w:rsidRDefault="00A65E75" w:rsidP="003A2405">
      <w:pPr>
        <w:pStyle w:val="BodyText"/>
        <w:numPr>
          <w:ilvl w:val="0"/>
          <w:numId w:val="12"/>
        </w:numPr>
        <w:spacing w:after="120" w:line="276" w:lineRule="auto"/>
        <w:rPr>
          <w:rFonts w:ascii="Symbol"/>
        </w:rPr>
      </w:pPr>
      <w:r>
        <w:t xml:space="preserve">Property </w:t>
      </w:r>
      <w:r w:rsidRPr="00650599">
        <w:t>Owners will select the percentage of their building to restrict, with a minimum of 20%</w:t>
      </w:r>
      <w:r>
        <w:t xml:space="preserve"> of the units if restricted at 50% AMI, and 50% of the units if restricted at 60% AMI</w:t>
      </w:r>
      <w:r w:rsidRPr="00650599">
        <w:t xml:space="preserve">. If they select more than </w:t>
      </w:r>
      <w:r>
        <w:t>the minimums above</w:t>
      </w:r>
      <w:r w:rsidRPr="00650599">
        <w:t xml:space="preserve">, </w:t>
      </w:r>
      <w:r w:rsidR="003A2405">
        <w:t xml:space="preserve">then, </w:t>
      </w:r>
      <w:r w:rsidRPr="00650599">
        <w:t>after 5 years and upon request, the City</w:t>
      </w:r>
      <w:r w:rsidRPr="00650599">
        <w:rPr>
          <w:spacing w:val="-2"/>
        </w:rPr>
        <w:t xml:space="preserve"> </w:t>
      </w:r>
      <w:r>
        <w:t>may</w:t>
      </w:r>
      <w:r w:rsidRPr="00650599">
        <w:rPr>
          <w:spacing w:val="-1"/>
        </w:rPr>
        <w:t xml:space="preserve"> </w:t>
      </w:r>
      <w:r w:rsidRPr="00650599">
        <w:t>approve</w:t>
      </w:r>
      <w:r w:rsidRPr="00650599">
        <w:rPr>
          <w:spacing w:val="-1"/>
        </w:rPr>
        <w:t xml:space="preserve"> </w:t>
      </w:r>
      <w:r w:rsidRPr="00650599">
        <w:t>a</w:t>
      </w:r>
      <w:r w:rsidRPr="00650599">
        <w:rPr>
          <w:spacing w:val="-4"/>
        </w:rPr>
        <w:t xml:space="preserve"> </w:t>
      </w:r>
      <w:r w:rsidRPr="00650599">
        <w:t>reduction</w:t>
      </w:r>
      <w:r w:rsidRPr="00650599">
        <w:rPr>
          <w:spacing w:val="-3"/>
        </w:rPr>
        <w:t xml:space="preserve"> </w:t>
      </w:r>
      <w:r w:rsidRPr="00650599">
        <w:t>of</w:t>
      </w:r>
      <w:r w:rsidRPr="00650599">
        <w:rPr>
          <w:spacing w:val="-3"/>
        </w:rPr>
        <w:t xml:space="preserve"> </w:t>
      </w:r>
      <w:r w:rsidRPr="00650599">
        <w:t>the</w:t>
      </w:r>
      <w:r w:rsidRPr="00650599">
        <w:rPr>
          <w:spacing w:val="-4"/>
        </w:rPr>
        <w:t xml:space="preserve"> </w:t>
      </w:r>
      <w:r w:rsidRPr="00650599">
        <w:t>percentage</w:t>
      </w:r>
      <w:r w:rsidRPr="00650599">
        <w:rPr>
          <w:spacing w:val="-3"/>
        </w:rPr>
        <w:t xml:space="preserve"> </w:t>
      </w:r>
      <w:r w:rsidRPr="00650599">
        <w:t>of</w:t>
      </w:r>
      <w:r w:rsidRPr="00650599">
        <w:rPr>
          <w:spacing w:val="-3"/>
        </w:rPr>
        <w:t xml:space="preserve"> </w:t>
      </w:r>
      <w:r w:rsidRPr="00650599">
        <w:t>restricted</w:t>
      </w:r>
      <w:r w:rsidRPr="00650599">
        <w:rPr>
          <w:spacing w:val="-3"/>
        </w:rPr>
        <w:t xml:space="preserve"> </w:t>
      </w:r>
      <w:r w:rsidRPr="00650599">
        <w:t>units</w:t>
      </w:r>
      <w:r w:rsidRPr="00650599">
        <w:rPr>
          <w:spacing w:val="-4"/>
        </w:rPr>
        <w:t xml:space="preserve"> </w:t>
      </w:r>
      <w:r w:rsidRPr="00650599">
        <w:t>to</w:t>
      </w:r>
      <w:r w:rsidRPr="00650599">
        <w:rPr>
          <w:spacing w:val="-3"/>
        </w:rPr>
        <w:t xml:space="preserve"> </w:t>
      </w:r>
      <w:r w:rsidRPr="00650599">
        <w:t>the</w:t>
      </w:r>
      <w:r w:rsidRPr="00650599">
        <w:rPr>
          <w:spacing w:val="-19"/>
        </w:rPr>
        <w:t xml:space="preserve"> </w:t>
      </w:r>
      <w:r w:rsidRPr="00650599">
        <w:t>minimum</w:t>
      </w:r>
      <w:r w:rsidRPr="00650599">
        <w:rPr>
          <w:spacing w:val="-4"/>
        </w:rPr>
        <w:t xml:space="preserve"> </w:t>
      </w:r>
      <w:r w:rsidRPr="00650599">
        <w:t>level</w:t>
      </w:r>
      <w:r>
        <w:t>s</w:t>
      </w:r>
      <w:r w:rsidRPr="00650599">
        <w:t xml:space="preserve"> of 20% </w:t>
      </w:r>
      <w:r>
        <w:t xml:space="preserve">or 50% </w:t>
      </w:r>
      <w:r w:rsidRPr="00650599">
        <w:t>of the units per</w:t>
      </w:r>
      <w:r w:rsidRPr="00650599">
        <w:rPr>
          <w:spacing w:val="-7"/>
        </w:rPr>
        <w:t xml:space="preserve"> </w:t>
      </w:r>
      <w:r w:rsidRPr="00650599">
        <w:t>building</w:t>
      </w:r>
      <w:r w:rsidR="003A2405">
        <w:t>, respective of affordability levels.</w:t>
      </w:r>
    </w:p>
    <w:p w14:paraId="46CB6E7B" w14:textId="78116D23" w:rsidR="00A65E75" w:rsidRPr="00E5498C" w:rsidRDefault="00A65E75" w:rsidP="003A2405">
      <w:pPr>
        <w:pStyle w:val="BodyText"/>
        <w:numPr>
          <w:ilvl w:val="0"/>
          <w:numId w:val="12"/>
        </w:numPr>
        <w:spacing w:after="120" w:line="276" w:lineRule="auto"/>
        <w:rPr>
          <w:rFonts w:ascii="Symbol"/>
        </w:rPr>
      </w:pPr>
      <w:r>
        <w:t xml:space="preserve">The City </w:t>
      </w:r>
      <w:r w:rsidRPr="00E5498C">
        <w:t>will submit a signed</w:t>
      </w:r>
      <w:r w:rsidR="003A2405">
        <w:t xml:space="preserve"> Minnesota Housing</w:t>
      </w:r>
      <w:r w:rsidRPr="00E5498C">
        <w:t xml:space="preserve"> 4</w:t>
      </w:r>
      <w:r>
        <w:t>(</w:t>
      </w:r>
      <w:r w:rsidRPr="00E5498C">
        <w:t>d</w:t>
      </w:r>
      <w:r>
        <w:t>)</w:t>
      </w:r>
      <w:r w:rsidRPr="00E5498C">
        <w:t xml:space="preserve"> application,</w:t>
      </w:r>
      <w:r w:rsidR="003A2405">
        <w:t xml:space="preserve"> the recorded Declaration, and the application fee to Minnesota Housing on behalf of the property owner for their first year only. </w:t>
      </w:r>
      <w:r w:rsidRPr="00E5498C">
        <w:t>Owners are responsible for submitting annual applications to Minnesota Housing to renew 4</w:t>
      </w:r>
      <w:r>
        <w:t>(</w:t>
      </w:r>
      <w:r w:rsidRPr="00E5498C">
        <w:t>d</w:t>
      </w:r>
      <w:r>
        <w:t>)</w:t>
      </w:r>
      <w:r w:rsidRPr="00E5498C">
        <w:t xml:space="preserve"> tax status. See “Annual Owner Compliance” for additional information.</w:t>
      </w:r>
    </w:p>
    <w:p w14:paraId="65164469" w14:textId="4F94BD78" w:rsidR="00EF43D7" w:rsidRDefault="00EF43D7" w:rsidP="00535B93">
      <w:pPr>
        <w:pStyle w:val="BodyText"/>
        <w:spacing w:line="276" w:lineRule="auto"/>
        <w:rPr>
          <w:rFonts w:ascii="Symbol"/>
        </w:rPr>
      </w:pPr>
    </w:p>
    <w:p w14:paraId="183571D9" w14:textId="555D4FB9" w:rsidR="003A2405" w:rsidRDefault="003A2405" w:rsidP="00535B93">
      <w:pPr>
        <w:pStyle w:val="BodyText"/>
        <w:spacing w:line="276" w:lineRule="auto"/>
        <w:rPr>
          <w:rFonts w:ascii="Symbol"/>
        </w:rPr>
      </w:pPr>
    </w:p>
    <w:p w14:paraId="77C84764" w14:textId="77777777" w:rsidR="003A2405" w:rsidRPr="00650599" w:rsidRDefault="003A2405" w:rsidP="00535B93">
      <w:pPr>
        <w:pStyle w:val="BodyText"/>
        <w:spacing w:line="276" w:lineRule="auto"/>
        <w:rPr>
          <w:rFonts w:ascii="Symbol"/>
        </w:rPr>
      </w:pPr>
    </w:p>
    <w:p w14:paraId="224B5932" w14:textId="77777777" w:rsidR="00EF43D7" w:rsidRPr="00E5498C" w:rsidRDefault="00EF43D7" w:rsidP="00535B93">
      <w:pPr>
        <w:pStyle w:val="BodyText"/>
        <w:spacing w:line="276" w:lineRule="auto"/>
        <w:rPr>
          <w:rFonts w:ascii="Symbol"/>
        </w:rPr>
      </w:pPr>
    </w:p>
    <w:p w14:paraId="3FA99FF7" w14:textId="7C0A9F12" w:rsidR="00EF43D7" w:rsidRPr="003A2405" w:rsidRDefault="00EF43D7" w:rsidP="00535B93">
      <w:pPr>
        <w:pStyle w:val="BodyText"/>
        <w:spacing w:line="276" w:lineRule="auto"/>
        <w:rPr>
          <w:b/>
        </w:rPr>
      </w:pPr>
      <w:r w:rsidRPr="003A2405">
        <w:rPr>
          <w:b/>
        </w:rPr>
        <w:lastRenderedPageBreak/>
        <w:t xml:space="preserve">Modifications to </w:t>
      </w:r>
      <w:r w:rsidR="00B90814" w:rsidRPr="003A2405">
        <w:rPr>
          <w:b/>
        </w:rPr>
        <w:t>D</w:t>
      </w:r>
      <w:r w:rsidRPr="003A2405">
        <w:rPr>
          <w:b/>
        </w:rPr>
        <w:t>eclarations</w:t>
      </w:r>
      <w:r w:rsidR="008747B1" w:rsidRPr="003A2405">
        <w:rPr>
          <w:b/>
        </w:rPr>
        <w:t xml:space="preserve"> during the 10-year </w:t>
      </w:r>
      <w:r w:rsidR="00B90814" w:rsidRPr="003A2405">
        <w:rPr>
          <w:b/>
        </w:rPr>
        <w:t>T</w:t>
      </w:r>
      <w:r w:rsidR="008747B1" w:rsidRPr="003A2405">
        <w:rPr>
          <w:b/>
        </w:rPr>
        <w:t>erm</w:t>
      </w:r>
    </w:p>
    <w:p w14:paraId="65D91740" w14:textId="77777777" w:rsidR="00B90814" w:rsidRPr="00DD6E31" w:rsidRDefault="00B90814" w:rsidP="00535B93">
      <w:pPr>
        <w:pStyle w:val="BodyText"/>
        <w:spacing w:line="276" w:lineRule="auto"/>
      </w:pPr>
    </w:p>
    <w:p w14:paraId="0D8B8298" w14:textId="4B621CC5" w:rsidR="00A65E75" w:rsidRPr="00E5498C" w:rsidRDefault="00A65E75" w:rsidP="003A2405">
      <w:pPr>
        <w:pStyle w:val="BodyText"/>
        <w:numPr>
          <w:ilvl w:val="0"/>
          <w:numId w:val="13"/>
        </w:numPr>
        <w:spacing w:line="276" w:lineRule="auto"/>
        <w:rPr>
          <w:rFonts w:ascii="Symbol"/>
        </w:rPr>
      </w:pPr>
      <w:r w:rsidRPr="00E5498C">
        <w:t>The declaration for the 4</w:t>
      </w:r>
      <w:r>
        <w:t>(</w:t>
      </w:r>
      <w:r w:rsidRPr="00E5498C">
        <w:t>d</w:t>
      </w:r>
      <w:r>
        <w:t>)</w:t>
      </w:r>
      <w:r w:rsidRPr="00E5498C">
        <w:t xml:space="preserve"> program commitments runs with the property</w:t>
      </w:r>
      <w:r>
        <w:t xml:space="preserve"> for 10 years</w:t>
      </w:r>
      <w:r w:rsidRPr="00E5498C">
        <w:t xml:space="preserve">. Anyone buying and selling </w:t>
      </w:r>
      <w:r>
        <w:t xml:space="preserve">a </w:t>
      </w:r>
      <w:r w:rsidRPr="00E5498C">
        <w:t>4</w:t>
      </w:r>
      <w:r>
        <w:t>(</w:t>
      </w:r>
      <w:r w:rsidRPr="00E5498C">
        <w:t>d</w:t>
      </w:r>
      <w:r>
        <w:t>)</w:t>
      </w:r>
      <w:r w:rsidRPr="00E5498C">
        <w:t xml:space="preserve"> property should contact </w:t>
      </w:r>
      <w:r>
        <w:t xml:space="preserve">City staff </w:t>
      </w:r>
      <w:r w:rsidRPr="00E5498C">
        <w:t>to complete an Assignment, Assumption and Consent</w:t>
      </w:r>
      <w:r w:rsidR="003A2405">
        <w:t xml:space="preserve"> Agreement</w:t>
      </w:r>
      <w:r w:rsidRPr="00E5498C">
        <w:t xml:space="preserve"> transferring the </w:t>
      </w:r>
      <w:r w:rsidR="003A2405">
        <w:t>D</w:t>
      </w:r>
      <w:r w:rsidRPr="00E5498C">
        <w:t>eclaration to the new</w:t>
      </w:r>
      <w:r w:rsidRPr="00E5498C">
        <w:rPr>
          <w:spacing w:val="-9"/>
        </w:rPr>
        <w:t xml:space="preserve"> </w:t>
      </w:r>
      <w:r w:rsidRPr="00E5498C">
        <w:t>owner.</w:t>
      </w:r>
    </w:p>
    <w:p w14:paraId="3C1DB525" w14:textId="0DF67C6C" w:rsidR="00A65E75" w:rsidRPr="003A2405" w:rsidRDefault="00A65E75" w:rsidP="003A2405">
      <w:pPr>
        <w:pStyle w:val="BodyText"/>
        <w:numPr>
          <w:ilvl w:val="0"/>
          <w:numId w:val="13"/>
        </w:numPr>
        <w:spacing w:line="276" w:lineRule="auto"/>
        <w:rPr>
          <w:rFonts w:ascii="Symbol"/>
        </w:rPr>
      </w:pPr>
      <w:r w:rsidRPr="00E5498C">
        <w:t>Any other changes to the declaration, such as revisions to the Exhibit B document specifying which units in the building are restricted, should contact</w:t>
      </w:r>
      <w:r w:rsidRPr="00E5498C">
        <w:rPr>
          <w:color w:val="0000FF"/>
        </w:rPr>
        <w:t xml:space="preserve"> </w:t>
      </w:r>
      <w:r>
        <w:t>City staff.</w:t>
      </w:r>
    </w:p>
    <w:p w14:paraId="44100051" w14:textId="1AF0F65C" w:rsidR="003A2405" w:rsidRPr="00E5498C" w:rsidRDefault="003A2405" w:rsidP="003A2405">
      <w:pPr>
        <w:pStyle w:val="BodyText"/>
        <w:numPr>
          <w:ilvl w:val="0"/>
          <w:numId w:val="13"/>
        </w:numPr>
        <w:spacing w:line="276" w:lineRule="auto"/>
        <w:rPr>
          <w:rFonts w:ascii="Symbol"/>
        </w:rPr>
      </w:pPr>
      <w:r>
        <w:t>Single-family homes may be sold at any time to qualifying owner-occupants earning a maximum of 80% of AMI, as allowed in the Declaration.</w:t>
      </w:r>
    </w:p>
    <w:p w14:paraId="099AE158" w14:textId="2927DA3A" w:rsidR="00EF43D7" w:rsidRDefault="00EF43D7" w:rsidP="00535B93">
      <w:pPr>
        <w:pStyle w:val="BodyText"/>
        <w:spacing w:line="276" w:lineRule="auto"/>
        <w:rPr>
          <w:bCs/>
          <w:sz w:val="19"/>
        </w:rPr>
      </w:pPr>
    </w:p>
    <w:p w14:paraId="78EB9C63" w14:textId="77777777" w:rsidR="003A2405" w:rsidRDefault="003A2405" w:rsidP="00535B93">
      <w:pPr>
        <w:pStyle w:val="BodyText"/>
        <w:spacing w:line="276" w:lineRule="auto"/>
        <w:rPr>
          <w:bCs/>
          <w:sz w:val="19"/>
        </w:rPr>
      </w:pPr>
    </w:p>
    <w:p w14:paraId="15C39150" w14:textId="5926FBCB" w:rsidR="00EF43D7" w:rsidRPr="003A2405" w:rsidRDefault="00B90814" w:rsidP="003A2405">
      <w:pPr>
        <w:pStyle w:val="BodyText"/>
        <w:spacing w:after="240" w:line="276" w:lineRule="auto"/>
        <w:rPr>
          <w:b/>
        </w:rPr>
      </w:pPr>
      <w:r w:rsidRPr="003A2405">
        <w:rPr>
          <w:b/>
        </w:rPr>
        <w:t>Maintaining Annual Compliance</w:t>
      </w:r>
    </w:p>
    <w:p w14:paraId="0AAA6137" w14:textId="6C11092B" w:rsidR="00EF43D7" w:rsidRPr="00E5498C" w:rsidRDefault="00EF43D7" w:rsidP="00535B93">
      <w:pPr>
        <w:pStyle w:val="BodyText"/>
        <w:spacing w:line="276" w:lineRule="auto"/>
      </w:pPr>
      <w:r w:rsidRPr="00E5498C">
        <w:t xml:space="preserve">To </w:t>
      </w:r>
      <w:r w:rsidR="00B90814">
        <w:t xml:space="preserve">maintain </w:t>
      </w:r>
      <w:r w:rsidRPr="00E5498C">
        <w:t>4</w:t>
      </w:r>
      <w:r w:rsidR="00F202E4">
        <w:t>(</w:t>
      </w:r>
      <w:r w:rsidRPr="00E5498C">
        <w:t>d</w:t>
      </w:r>
      <w:r w:rsidR="00F202E4">
        <w:t>)</w:t>
      </w:r>
      <w:r w:rsidRPr="00E5498C">
        <w:t xml:space="preserve"> status</w:t>
      </w:r>
      <w:r w:rsidR="00B90814">
        <w:t>, p</w:t>
      </w:r>
      <w:r w:rsidRPr="00E5498C">
        <w:t xml:space="preserve">roperty </w:t>
      </w:r>
      <w:r w:rsidR="00B90814">
        <w:t>o</w:t>
      </w:r>
      <w:r w:rsidRPr="00E5498C">
        <w:t xml:space="preserve">wners </w:t>
      </w:r>
      <w:r w:rsidR="00B90814">
        <w:t>must</w:t>
      </w:r>
      <w:r w:rsidRPr="00E5498C">
        <w:t xml:space="preserve">  submit:</w:t>
      </w:r>
    </w:p>
    <w:p w14:paraId="45602278" w14:textId="155B9CBD" w:rsidR="00EF43D7" w:rsidRPr="00E5498C" w:rsidRDefault="00EF43D7" w:rsidP="003A2405">
      <w:pPr>
        <w:pStyle w:val="BodyText"/>
        <w:numPr>
          <w:ilvl w:val="0"/>
          <w:numId w:val="14"/>
        </w:numPr>
        <w:spacing w:line="276" w:lineRule="auto"/>
        <w:rPr>
          <w:rFonts w:ascii="Symbol"/>
        </w:rPr>
      </w:pPr>
      <w:r>
        <w:t>A</w:t>
      </w:r>
      <w:r w:rsidRPr="00E5498C">
        <w:t>n annual 4</w:t>
      </w:r>
      <w:r w:rsidR="00F202E4">
        <w:t>(</w:t>
      </w:r>
      <w:r w:rsidRPr="00E5498C">
        <w:t>d</w:t>
      </w:r>
      <w:r w:rsidR="00F202E4">
        <w:t>)</w:t>
      </w:r>
      <w:r w:rsidRPr="00E5498C">
        <w:t xml:space="preserve"> application to Minnesota</w:t>
      </w:r>
      <w:r w:rsidRPr="00E5498C">
        <w:rPr>
          <w:spacing w:val="-1"/>
        </w:rPr>
        <w:t xml:space="preserve"> </w:t>
      </w:r>
      <w:r w:rsidRPr="00E5498C">
        <w:t>Housing</w:t>
      </w:r>
      <w:r w:rsidR="003A2405">
        <w:t>, which can be found on Minnesota Housing’s 4(d) (Low Income Rental Classification, or LIRC) webpage;</w:t>
      </w:r>
    </w:p>
    <w:p w14:paraId="53E5B7AF" w14:textId="105C0513" w:rsidR="002003A0" w:rsidRPr="002003A0" w:rsidRDefault="00EF43D7" w:rsidP="003A2405">
      <w:pPr>
        <w:pStyle w:val="BodyText"/>
        <w:numPr>
          <w:ilvl w:val="0"/>
          <w:numId w:val="14"/>
        </w:numPr>
        <w:spacing w:line="276" w:lineRule="auto"/>
        <w:ind w:right="-90"/>
        <w:rPr>
          <w:rFonts w:ascii="Symbol"/>
        </w:rPr>
      </w:pPr>
      <w:r>
        <w:t>A</w:t>
      </w:r>
      <w:r w:rsidRPr="00E5498C">
        <w:t>n annual report to the</w:t>
      </w:r>
      <w:r w:rsidRPr="00E5498C">
        <w:rPr>
          <w:spacing w:val="-5"/>
        </w:rPr>
        <w:t xml:space="preserve"> </w:t>
      </w:r>
      <w:r w:rsidRPr="00E5498C">
        <w:t>City</w:t>
      </w:r>
      <w:r w:rsidR="003A2405">
        <w:t>, including an updated rent roll, which can be found at stpaul.gov/4d</w:t>
      </w:r>
    </w:p>
    <w:p w14:paraId="56EE393B" w14:textId="77777777" w:rsidR="00EF43D7" w:rsidRPr="00E5498C" w:rsidRDefault="00EF43D7" w:rsidP="00535B93">
      <w:pPr>
        <w:pStyle w:val="BodyText"/>
        <w:spacing w:line="276" w:lineRule="auto"/>
        <w:rPr>
          <w:sz w:val="20"/>
          <w:szCs w:val="20"/>
        </w:rPr>
      </w:pPr>
    </w:p>
    <w:p w14:paraId="0C166B72" w14:textId="77777777" w:rsidR="00EF43D7" w:rsidRDefault="00EF43D7" w:rsidP="00535B93">
      <w:pPr>
        <w:pStyle w:val="BodyText"/>
        <w:spacing w:line="276" w:lineRule="auto"/>
        <w:sectPr w:rsidR="00EF43D7" w:rsidSect="002003A0">
          <w:footerReference w:type="default" r:id="rId8"/>
          <w:pgSz w:w="12240" w:h="15840"/>
          <w:pgMar w:top="1440" w:right="1080" w:bottom="1440" w:left="1080" w:header="720" w:footer="187" w:gutter="0"/>
          <w:cols w:space="720"/>
          <w:docGrid w:linePitch="299"/>
        </w:sectPr>
      </w:pPr>
      <w:bookmarkStart w:id="1" w:name="Who_is_eligible?"/>
      <w:bookmarkEnd w:id="1"/>
    </w:p>
    <w:p w14:paraId="09C788F6" w14:textId="35658E56" w:rsidR="00EF43D7" w:rsidRPr="00C64D2F" w:rsidRDefault="00AD1B08" w:rsidP="00C64D2F">
      <w:pPr>
        <w:pStyle w:val="BodyText"/>
        <w:spacing w:after="240" w:line="276" w:lineRule="auto"/>
        <w:rPr>
          <w:b/>
        </w:rPr>
      </w:pPr>
      <w:bookmarkStart w:id="2" w:name="Process_and_program_requirements:"/>
      <w:bookmarkStart w:id="3" w:name="Step_1_(required):"/>
      <w:bookmarkEnd w:id="2"/>
      <w:bookmarkEnd w:id="3"/>
      <w:r>
        <w:rPr>
          <w:b/>
        </w:rPr>
        <w:lastRenderedPageBreak/>
        <w:t>2020</w:t>
      </w:r>
      <w:bookmarkStart w:id="4" w:name="_GoBack"/>
      <w:bookmarkEnd w:id="4"/>
      <w:r w:rsidR="00EF43D7" w:rsidRPr="003A2405">
        <w:rPr>
          <w:b/>
        </w:rPr>
        <w:t xml:space="preserve"> Rent and Income Restrictions, Saint Paul 4</w:t>
      </w:r>
      <w:r w:rsidR="00F202E4" w:rsidRPr="003A2405">
        <w:rPr>
          <w:b/>
        </w:rPr>
        <w:t>(</w:t>
      </w:r>
      <w:r w:rsidR="00EF43D7" w:rsidRPr="003A2405">
        <w:rPr>
          <w:b/>
        </w:rPr>
        <w:t>d</w:t>
      </w:r>
      <w:r w:rsidR="00F202E4" w:rsidRPr="003A2405">
        <w:rPr>
          <w:b/>
        </w:rPr>
        <w:t>)</w:t>
      </w:r>
      <w:r w:rsidR="00EF43D7" w:rsidRPr="003A2405">
        <w:rPr>
          <w:b/>
        </w:rPr>
        <w:t xml:space="preserve"> Affordable Housing Incentive Program</w:t>
      </w:r>
    </w:p>
    <w:p w14:paraId="7DAA1CD8" w14:textId="3DFDA7CB" w:rsidR="00855F08" w:rsidRDefault="00855F08" w:rsidP="00535B93">
      <w:pPr>
        <w:pStyle w:val="BodyText"/>
        <w:spacing w:line="276" w:lineRule="auto"/>
      </w:pPr>
      <w:r>
        <w:t>Maximum Rent Limits</w:t>
      </w:r>
      <w:r w:rsidR="00C64D2F">
        <w:t>*</w:t>
      </w:r>
    </w:p>
    <w:p w14:paraId="11E11F50" w14:textId="77777777" w:rsidR="002003A0" w:rsidRDefault="00050524" w:rsidP="00535B93">
      <w:pPr>
        <w:pStyle w:val="BodyText"/>
        <w:spacing w:line="276" w:lineRule="auto"/>
      </w:pPr>
      <w:r w:rsidRPr="00050524">
        <w:rPr>
          <w:noProof/>
        </w:rPr>
        <w:drawing>
          <wp:inline distT="0" distB="0" distL="0" distR="0" wp14:anchorId="09B42E87" wp14:editId="5C2D75F2">
            <wp:extent cx="462915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2219325"/>
                    </a:xfrm>
                    <a:prstGeom prst="rect">
                      <a:avLst/>
                    </a:prstGeom>
                    <a:noFill/>
                    <a:ln>
                      <a:noFill/>
                    </a:ln>
                  </pic:spPr>
                </pic:pic>
              </a:graphicData>
            </a:graphic>
          </wp:inline>
        </w:drawing>
      </w:r>
      <w:r w:rsidRPr="00050524" w:rsidDel="00050524">
        <w:t xml:space="preserve"> </w:t>
      </w:r>
    </w:p>
    <w:p w14:paraId="67982658" w14:textId="77777777" w:rsidR="000043AF" w:rsidRDefault="000043AF" w:rsidP="000043AF">
      <w:pPr>
        <w:pStyle w:val="BodyText"/>
        <w:spacing w:after="120"/>
        <w:rPr>
          <w:b/>
          <w:sz w:val="22"/>
        </w:rPr>
      </w:pPr>
    </w:p>
    <w:p w14:paraId="644C2009" w14:textId="53DF470D" w:rsidR="000043AF" w:rsidRDefault="000043AF" w:rsidP="000043AF">
      <w:pPr>
        <w:pStyle w:val="BodyText"/>
        <w:spacing w:after="120" w:line="276" w:lineRule="auto"/>
      </w:pPr>
      <w:r w:rsidRPr="000043AF">
        <w:rPr>
          <w:b/>
        </w:rPr>
        <w:t>*</w:t>
      </w:r>
      <w:r w:rsidR="00EF43D7" w:rsidRPr="000043AF">
        <w:rPr>
          <w:b/>
        </w:rPr>
        <w:t>Note</w:t>
      </w:r>
      <w:r w:rsidR="00EF43D7" w:rsidRPr="000043AF">
        <w:t xml:space="preserve">: </w:t>
      </w:r>
      <w:r w:rsidRPr="000043AF">
        <w:t xml:space="preserve">Maximum rent limits must include the gross combined base rent and the cost of utilities paid by tenants. </w:t>
      </w:r>
      <w:r>
        <w:t xml:space="preserve">Utility allowance amounts are based on the (Section 8) standards set by the Saint Paul Public Housing Authority, and can be found at: </w:t>
      </w:r>
      <w:hyperlink r:id="rId10" w:history="1">
        <w:r w:rsidRPr="005E299B">
          <w:rPr>
            <w:rStyle w:val="Hyperlink"/>
          </w:rPr>
          <w:t>http://www.stpha.org/section-8</w:t>
        </w:r>
      </w:hyperlink>
    </w:p>
    <w:p w14:paraId="261881E3" w14:textId="7A20CA79" w:rsidR="003A2405" w:rsidRPr="003A2405" w:rsidRDefault="003A2405" w:rsidP="000043AF">
      <w:pPr>
        <w:pStyle w:val="BodyText"/>
        <w:rPr>
          <w:sz w:val="22"/>
        </w:rPr>
      </w:pPr>
      <w:r w:rsidRPr="003A2405">
        <w:rPr>
          <w:sz w:val="22"/>
        </w:rPr>
        <w:t xml:space="preserve">*Rent and income limits </w:t>
      </w:r>
      <w:r w:rsidR="000043AF">
        <w:rPr>
          <w:sz w:val="22"/>
        </w:rPr>
        <w:t xml:space="preserve">are </w:t>
      </w:r>
      <w:r w:rsidRPr="003A2405">
        <w:rPr>
          <w:sz w:val="22"/>
        </w:rPr>
        <w:t>based on 50% and 60% of the Twin Cities Area Median Income (AMI).</w:t>
      </w:r>
    </w:p>
    <w:p w14:paraId="199E3587" w14:textId="77777777" w:rsidR="00C64D2F" w:rsidRDefault="00C64D2F" w:rsidP="00535B93">
      <w:pPr>
        <w:pStyle w:val="BodyText"/>
        <w:spacing w:line="276" w:lineRule="auto"/>
        <w:rPr>
          <w:bCs/>
          <w:sz w:val="22"/>
        </w:rPr>
      </w:pPr>
    </w:p>
    <w:p w14:paraId="53B44E30" w14:textId="2BB463F2" w:rsidR="00EF43D7" w:rsidRPr="00C64D2F" w:rsidRDefault="00EF43D7" w:rsidP="00C64D2F">
      <w:pPr>
        <w:pStyle w:val="BodyText"/>
        <w:spacing w:after="240" w:line="276" w:lineRule="auto"/>
        <w:rPr>
          <w:b/>
        </w:rPr>
      </w:pPr>
      <w:r w:rsidRPr="00C64D2F">
        <w:rPr>
          <w:b/>
        </w:rPr>
        <w:t>Notes on Area Median Income</w:t>
      </w:r>
      <w:r w:rsidR="002003A0" w:rsidRPr="00C64D2F">
        <w:rPr>
          <w:b/>
        </w:rPr>
        <w:t xml:space="preserve"> (AMI)</w:t>
      </w:r>
      <w:r w:rsidRPr="00C64D2F">
        <w:rPr>
          <w:b/>
        </w:rPr>
        <w:t xml:space="preserve"> and annual updates to rent and income restrictions</w:t>
      </w:r>
      <w:r w:rsidR="002003A0" w:rsidRPr="00C64D2F">
        <w:rPr>
          <w:b/>
        </w:rPr>
        <w:t>:</w:t>
      </w:r>
    </w:p>
    <w:p w14:paraId="47286BEB" w14:textId="54BE23E1" w:rsidR="00EF43D7" w:rsidRPr="00E5498C" w:rsidRDefault="00EF43D7" w:rsidP="00C64D2F">
      <w:pPr>
        <w:pStyle w:val="BodyText"/>
        <w:numPr>
          <w:ilvl w:val="0"/>
          <w:numId w:val="15"/>
        </w:numPr>
        <w:spacing w:line="276" w:lineRule="auto"/>
      </w:pPr>
      <w:r w:rsidRPr="00E5498C">
        <w:t xml:space="preserve">The City of </w:t>
      </w:r>
      <w:r>
        <w:t>Saint Paul</w:t>
      </w:r>
      <w:r w:rsidRPr="00E5498C">
        <w:t xml:space="preserve"> will publish an annual rent and income schedule, based on the regional 60% </w:t>
      </w:r>
      <w:r w:rsidR="00855F08">
        <w:t xml:space="preserve">and 50% </w:t>
      </w:r>
      <w:r w:rsidRPr="00E5498C">
        <w:t>AMI standard</w:t>
      </w:r>
      <w:r w:rsidR="00855F08">
        <w:t>s</w:t>
      </w:r>
      <w:r w:rsidRPr="00E5498C">
        <w:t>, that owners can reference to stay in complian</w:t>
      </w:r>
      <w:r w:rsidR="00BA5B43">
        <w:t>ce with the program over the 10-</w:t>
      </w:r>
      <w:r w:rsidRPr="00E5498C">
        <w:t>year</w:t>
      </w:r>
      <w:r w:rsidRPr="00E5498C">
        <w:rPr>
          <w:spacing w:val="-4"/>
        </w:rPr>
        <w:t xml:space="preserve"> </w:t>
      </w:r>
      <w:r w:rsidRPr="00E5498C">
        <w:t>commitment</w:t>
      </w:r>
      <w:r w:rsidR="00C64D2F">
        <w:t>.</w:t>
      </w:r>
    </w:p>
    <w:p w14:paraId="74C0E019" w14:textId="77777777" w:rsidR="00EF43D7" w:rsidRPr="00E5498C" w:rsidRDefault="00EF43D7" w:rsidP="00C64D2F">
      <w:pPr>
        <w:pStyle w:val="BodyText"/>
        <w:numPr>
          <w:ilvl w:val="0"/>
          <w:numId w:val="15"/>
        </w:numPr>
        <w:spacing w:line="276" w:lineRule="auto"/>
      </w:pPr>
      <w:r w:rsidRPr="00E5498C">
        <w:t>Rent and income restrictions will be updated annually based on AMI levels set by HUD. For more information on Area Median Income and rent limits, please visit the</w:t>
      </w:r>
      <w:r w:rsidRPr="00E5498C">
        <w:rPr>
          <w:color w:val="0000FF"/>
          <w:u w:val="single" w:color="0000FF"/>
        </w:rPr>
        <w:t xml:space="preserve"> </w:t>
      </w:r>
      <w:hyperlink r:id="rId11">
        <w:r w:rsidRPr="00E5498C">
          <w:rPr>
            <w:color w:val="0000FF"/>
            <w:u w:val="single" w:color="0000FF"/>
          </w:rPr>
          <w:t>Metropolitan Council website</w:t>
        </w:r>
      </w:hyperlink>
      <w:r w:rsidRPr="00E5498C">
        <w:t>.</w:t>
      </w:r>
    </w:p>
    <w:p w14:paraId="26621519" w14:textId="3BA48D12" w:rsidR="00EF43D7" w:rsidRDefault="00EF43D7" w:rsidP="00535B93">
      <w:pPr>
        <w:pStyle w:val="BodyText"/>
        <w:spacing w:line="276" w:lineRule="auto"/>
        <w:rPr>
          <w:bCs/>
          <w:sz w:val="19"/>
        </w:rPr>
      </w:pPr>
    </w:p>
    <w:p w14:paraId="32C4B63E" w14:textId="77777777" w:rsidR="000043AF" w:rsidRDefault="000043AF" w:rsidP="00535B93">
      <w:pPr>
        <w:pStyle w:val="BodyText"/>
        <w:spacing w:line="276" w:lineRule="auto"/>
        <w:rPr>
          <w:bCs/>
          <w:sz w:val="19"/>
        </w:rPr>
      </w:pPr>
    </w:p>
    <w:p w14:paraId="1BD016DB" w14:textId="394A560C" w:rsidR="00EF43D7" w:rsidRPr="00C64D2F" w:rsidRDefault="00EF43D7" w:rsidP="00535B93">
      <w:pPr>
        <w:pStyle w:val="BodyText"/>
        <w:spacing w:line="276" w:lineRule="auto"/>
        <w:rPr>
          <w:b/>
        </w:rPr>
      </w:pPr>
      <w:r w:rsidRPr="00C64D2F">
        <w:rPr>
          <w:b/>
        </w:rPr>
        <w:t>Questions?</w:t>
      </w:r>
    </w:p>
    <w:p w14:paraId="67995F50" w14:textId="15E0C5A2" w:rsidR="002003A0" w:rsidRDefault="002B1EB1" w:rsidP="00C64D2F">
      <w:pPr>
        <w:pStyle w:val="BodyText"/>
        <w:spacing w:after="240" w:line="276" w:lineRule="auto"/>
      </w:pPr>
      <w:r w:rsidRPr="00E5498C">
        <w:t>For questions or more information about the 4</w:t>
      </w:r>
      <w:r>
        <w:t>(</w:t>
      </w:r>
      <w:r w:rsidRPr="00E5498C">
        <w:t>d</w:t>
      </w:r>
      <w:r>
        <w:t>)</w:t>
      </w:r>
      <w:r w:rsidRPr="00E5498C">
        <w:t xml:space="preserve"> Affordable Housing Incentive Program</w:t>
      </w:r>
      <w:r>
        <w:t>,</w:t>
      </w:r>
      <w:r w:rsidRPr="00E5498C">
        <w:t xml:space="preserve"> contact</w:t>
      </w:r>
      <w:r w:rsidR="002003A0">
        <w:t>:</w:t>
      </w:r>
    </w:p>
    <w:p w14:paraId="74B1EFDD" w14:textId="07FBF2AC" w:rsidR="002003A0" w:rsidRPr="00C64D2F" w:rsidRDefault="002B1EB1" w:rsidP="00C64D2F">
      <w:pPr>
        <w:pStyle w:val="BodyText"/>
        <w:spacing w:line="276" w:lineRule="auto"/>
        <w:ind w:left="720"/>
        <w:rPr>
          <w:b/>
        </w:rPr>
      </w:pPr>
      <w:r w:rsidRPr="00C64D2F">
        <w:rPr>
          <w:b/>
        </w:rPr>
        <w:t>Luke Odenthal</w:t>
      </w:r>
    </w:p>
    <w:p w14:paraId="2C6A3367" w14:textId="77777777" w:rsidR="002003A0" w:rsidRPr="002003A0" w:rsidRDefault="002003A0" w:rsidP="00C64D2F">
      <w:pPr>
        <w:pStyle w:val="BodyText"/>
        <w:spacing w:line="276" w:lineRule="auto"/>
        <w:ind w:left="720"/>
      </w:pPr>
      <w:r w:rsidRPr="002003A0">
        <w:t>Planning and Economic Development</w:t>
      </w:r>
    </w:p>
    <w:p w14:paraId="2C4902C4" w14:textId="20F50093" w:rsidR="002003A0" w:rsidRDefault="002003A0" w:rsidP="00C64D2F">
      <w:pPr>
        <w:pStyle w:val="BodyText"/>
        <w:spacing w:after="240" w:line="276" w:lineRule="auto"/>
        <w:ind w:left="720"/>
      </w:pPr>
      <w:r w:rsidRPr="002003A0">
        <w:t>1100 City Hall Annex; 25 W Fourth Street, Saint Paul, MN 55102</w:t>
      </w:r>
    </w:p>
    <w:p w14:paraId="1909A0EF" w14:textId="59D83A8C" w:rsidR="00500D85" w:rsidRDefault="00AD1B08" w:rsidP="00C64D2F">
      <w:pPr>
        <w:pStyle w:val="BodyText"/>
        <w:spacing w:line="276" w:lineRule="auto"/>
        <w:ind w:left="720"/>
        <w:rPr>
          <w:color w:val="0000FF"/>
          <w:u w:val="single" w:color="0000FF"/>
        </w:rPr>
      </w:pPr>
      <w:hyperlink r:id="rId12" w:history="1">
        <w:r w:rsidR="002003A0" w:rsidRPr="005E299B">
          <w:rPr>
            <w:rStyle w:val="Hyperlink"/>
          </w:rPr>
          <w:t>luke.odenthal@ci.stpaul.mn.us</w:t>
        </w:r>
      </w:hyperlink>
    </w:p>
    <w:p w14:paraId="5A92D2A8" w14:textId="6EE70DC0" w:rsidR="002003A0" w:rsidRPr="002003A0" w:rsidRDefault="002003A0" w:rsidP="00C64D2F">
      <w:pPr>
        <w:pStyle w:val="BodyText"/>
        <w:spacing w:line="276" w:lineRule="auto"/>
        <w:ind w:left="720"/>
      </w:pPr>
      <w:r w:rsidRPr="002003A0">
        <w:t>651-266-</w:t>
      </w:r>
      <w:r w:rsidR="0065737B">
        <w:t>6647</w:t>
      </w:r>
    </w:p>
    <w:sectPr w:rsidR="002003A0" w:rsidRPr="00200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7701" w14:textId="77777777" w:rsidR="00EF43D7" w:rsidRDefault="00EF43D7" w:rsidP="00EF43D7">
      <w:r>
        <w:separator/>
      </w:r>
    </w:p>
  </w:endnote>
  <w:endnote w:type="continuationSeparator" w:id="0">
    <w:p w14:paraId="40024ABB" w14:textId="77777777" w:rsidR="00EF43D7" w:rsidRDefault="00EF43D7" w:rsidP="00EF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757209"/>
      <w:docPartObj>
        <w:docPartGallery w:val="Page Numbers (Bottom of Page)"/>
        <w:docPartUnique/>
      </w:docPartObj>
    </w:sdtPr>
    <w:sdtEndPr/>
    <w:sdtContent>
      <w:sdt>
        <w:sdtPr>
          <w:id w:val="150258748"/>
          <w:docPartObj>
            <w:docPartGallery w:val="Page Numbers (Top of Page)"/>
            <w:docPartUnique/>
          </w:docPartObj>
        </w:sdtPr>
        <w:sdtEndPr/>
        <w:sdtContent>
          <w:p w14:paraId="56D4AA3F" w14:textId="45AD8DC2" w:rsidR="002003A0" w:rsidRDefault="002003A0" w:rsidP="002003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62D03A" w14:textId="77777777" w:rsidR="00EF43D7" w:rsidRDefault="00EF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1171D" w14:textId="77777777" w:rsidR="00EF43D7" w:rsidRDefault="00EF43D7" w:rsidP="00EF43D7">
      <w:r>
        <w:separator/>
      </w:r>
    </w:p>
  </w:footnote>
  <w:footnote w:type="continuationSeparator" w:id="0">
    <w:p w14:paraId="4E618FE0" w14:textId="77777777" w:rsidR="00EF43D7" w:rsidRDefault="00EF43D7" w:rsidP="00EF43D7">
      <w:r>
        <w:continuationSeparator/>
      </w:r>
    </w:p>
  </w:footnote>
  <w:footnote w:id="1">
    <w:p w14:paraId="0D53826D" w14:textId="77777777" w:rsidR="00A65E75" w:rsidRPr="00DD6E31" w:rsidRDefault="00A65E75" w:rsidP="00A65E75">
      <w:pPr>
        <w:pStyle w:val="BodyText"/>
        <w:spacing w:before="56" w:line="235" w:lineRule="auto"/>
        <w:ind w:right="1320"/>
        <w:jc w:val="both"/>
        <w:rPr>
          <w:sz w:val="16"/>
          <w:szCs w:val="16"/>
        </w:rPr>
      </w:pPr>
      <w:r>
        <w:rPr>
          <w:rStyle w:val="FootnoteReference"/>
        </w:rPr>
        <w:footnoteRef/>
      </w:r>
      <w:r>
        <w:t xml:space="preserve"> </w:t>
      </w:r>
      <w:r w:rsidRPr="00DD6E31">
        <w:rPr>
          <w:rStyle w:val="FootnoteReference"/>
          <w:sz w:val="16"/>
          <w:szCs w:val="16"/>
        </w:rPr>
        <w:footnoteRef/>
      </w:r>
      <w:r w:rsidRPr="00DD6E31">
        <w:rPr>
          <w:sz w:val="16"/>
          <w:szCs w:val="16"/>
        </w:rPr>
        <w:t xml:space="preserve"> Minnesota Statute 273.128 provides that qualifying low-income rental properties, including those enrolled in the </w:t>
      </w:r>
      <w:r>
        <w:rPr>
          <w:sz w:val="16"/>
          <w:szCs w:val="16"/>
        </w:rPr>
        <w:t>Saint Paul</w:t>
      </w:r>
      <w:r w:rsidRPr="00DD6E31">
        <w:rPr>
          <w:sz w:val="16"/>
          <w:szCs w:val="16"/>
        </w:rPr>
        <w:t xml:space="preserve"> 4</w:t>
      </w:r>
      <w:r>
        <w:rPr>
          <w:sz w:val="16"/>
          <w:szCs w:val="16"/>
        </w:rPr>
        <w:t>(</w:t>
      </w:r>
      <w:r w:rsidRPr="00DD6E31">
        <w:rPr>
          <w:sz w:val="16"/>
          <w:szCs w:val="16"/>
        </w:rPr>
        <w:t>d</w:t>
      </w:r>
      <w:r>
        <w:rPr>
          <w:sz w:val="16"/>
          <w:szCs w:val="16"/>
        </w:rPr>
        <w:t>)</w:t>
      </w:r>
      <w:r w:rsidRPr="00DD6E31">
        <w:rPr>
          <w:sz w:val="16"/>
          <w:szCs w:val="16"/>
        </w:rPr>
        <w:t xml:space="preserve"> incentive program, are eligible for 4</w:t>
      </w:r>
      <w:r>
        <w:rPr>
          <w:sz w:val="16"/>
          <w:szCs w:val="16"/>
        </w:rPr>
        <w:t>(</w:t>
      </w:r>
      <w:r w:rsidRPr="00DD6E31">
        <w:rPr>
          <w:sz w:val="16"/>
          <w:szCs w:val="16"/>
        </w:rPr>
        <w:t>d</w:t>
      </w:r>
      <w:r>
        <w:rPr>
          <w:sz w:val="16"/>
          <w:szCs w:val="16"/>
        </w:rPr>
        <w:t>)</w:t>
      </w:r>
      <w:r w:rsidRPr="00DD6E31">
        <w:rPr>
          <w:sz w:val="16"/>
          <w:szCs w:val="16"/>
        </w:rPr>
        <w:t xml:space="preserve"> tax classification. According to state statue, the first tier of valuation ($139,000/unit in 2018) on 4</w:t>
      </w:r>
      <w:r>
        <w:rPr>
          <w:sz w:val="16"/>
          <w:szCs w:val="16"/>
        </w:rPr>
        <w:t>(</w:t>
      </w:r>
      <w:r w:rsidRPr="00DD6E31">
        <w:rPr>
          <w:sz w:val="16"/>
          <w:szCs w:val="16"/>
        </w:rPr>
        <w:t>d</w:t>
      </w:r>
      <w:r>
        <w:rPr>
          <w:sz w:val="16"/>
          <w:szCs w:val="16"/>
        </w:rPr>
        <w:t>)</w:t>
      </w:r>
      <w:r w:rsidRPr="00DD6E31">
        <w:rPr>
          <w:sz w:val="16"/>
          <w:szCs w:val="16"/>
        </w:rPr>
        <w:t xml:space="preserve"> rental properties is taxed at a rate 40% less than 4a and 4b rental property. The actual reduction in property taxes may be slightly higher or lower than</w:t>
      </w:r>
      <w:r w:rsidRPr="00DD6E31">
        <w:rPr>
          <w:spacing w:val="50"/>
          <w:sz w:val="16"/>
          <w:szCs w:val="16"/>
        </w:rPr>
        <w:t xml:space="preserve"> </w:t>
      </w:r>
      <w:r w:rsidRPr="00DD6E31">
        <w:rPr>
          <w:sz w:val="16"/>
          <w:szCs w:val="16"/>
        </w:rPr>
        <w:t>40%.</w:t>
      </w:r>
    </w:p>
    <w:p w14:paraId="00FF019F" w14:textId="2D571579" w:rsidR="00A65E75" w:rsidRDefault="00A65E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1A9"/>
    <w:multiLevelType w:val="hybridMultilevel"/>
    <w:tmpl w:val="FB0EF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2E33"/>
    <w:multiLevelType w:val="hybridMultilevel"/>
    <w:tmpl w:val="3BA6D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7232"/>
    <w:multiLevelType w:val="hybridMultilevel"/>
    <w:tmpl w:val="8584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0917"/>
    <w:multiLevelType w:val="hybridMultilevel"/>
    <w:tmpl w:val="EF98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93B20"/>
    <w:multiLevelType w:val="hybridMultilevel"/>
    <w:tmpl w:val="10362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037FE"/>
    <w:multiLevelType w:val="hybridMultilevel"/>
    <w:tmpl w:val="79E4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4AE6"/>
    <w:multiLevelType w:val="hybridMultilevel"/>
    <w:tmpl w:val="9830E50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AAD500E"/>
    <w:multiLevelType w:val="hybridMultilevel"/>
    <w:tmpl w:val="C486F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C4AB4"/>
    <w:multiLevelType w:val="hybridMultilevel"/>
    <w:tmpl w:val="56429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75DF6"/>
    <w:multiLevelType w:val="hybridMultilevel"/>
    <w:tmpl w:val="E9E4589E"/>
    <w:lvl w:ilvl="0" w:tplc="3D321558">
      <w:numFmt w:val="bullet"/>
      <w:lvlText w:val=""/>
      <w:lvlJc w:val="left"/>
      <w:pPr>
        <w:ind w:left="480" w:hanging="360"/>
      </w:pPr>
      <w:rPr>
        <w:rFonts w:ascii="Symbol" w:eastAsia="Symbol" w:hAnsi="Symbol" w:cs="Symbol" w:hint="default"/>
        <w:w w:val="100"/>
        <w:sz w:val="24"/>
        <w:szCs w:val="24"/>
        <w:lang w:val="en-US" w:eastAsia="en-US" w:bidi="en-US"/>
      </w:rPr>
    </w:lvl>
    <w:lvl w:ilvl="1" w:tplc="2FB81F62">
      <w:numFmt w:val="bullet"/>
      <w:lvlText w:val=""/>
      <w:lvlJc w:val="left"/>
      <w:pPr>
        <w:ind w:left="948" w:hanging="360"/>
      </w:pPr>
      <w:rPr>
        <w:rFonts w:hint="default"/>
        <w:w w:val="100"/>
        <w:lang w:val="en-US" w:eastAsia="en-US" w:bidi="en-US"/>
      </w:rPr>
    </w:lvl>
    <w:lvl w:ilvl="2" w:tplc="3B4897C8">
      <w:numFmt w:val="bullet"/>
      <w:lvlText w:val="•"/>
      <w:lvlJc w:val="left"/>
      <w:pPr>
        <w:ind w:left="2022" w:hanging="360"/>
      </w:pPr>
      <w:rPr>
        <w:rFonts w:hint="default"/>
        <w:lang w:val="en-US" w:eastAsia="en-US" w:bidi="en-US"/>
      </w:rPr>
    </w:lvl>
    <w:lvl w:ilvl="3" w:tplc="7F765C88">
      <w:numFmt w:val="bullet"/>
      <w:lvlText w:val="•"/>
      <w:lvlJc w:val="left"/>
      <w:pPr>
        <w:ind w:left="3104" w:hanging="360"/>
      </w:pPr>
      <w:rPr>
        <w:rFonts w:hint="default"/>
        <w:lang w:val="en-US" w:eastAsia="en-US" w:bidi="en-US"/>
      </w:rPr>
    </w:lvl>
    <w:lvl w:ilvl="4" w:tplc="45E00454">
      <w:numFmt w:val="bullet"/>
      <w:lvlText w:val="•"/>
      <w:lvlJc w:val="left"/>
      <w:pPr>
        <w:ind w:left="4186" w:hanging="360"/>
      </w:pPr>
      <w:rPr>
        <w:rFonts w:hint="default"/>
        <w:lang w:val="en-US" w:eastAsia="en-US" w:bidi="en-US"/>
      </w:rPr>
    </w:lvl>
    <w:lvl w:ilvl="5" w:tplc="44282D68">
      <w:numFmt w:val="bullet"/>
      <w:lvlText w:val="•"/>
      <w:lvlJc w:val="left"/>
      <w:pPr>
        <w:ind w:left="5268" w:hanging="360"/>
      </w:pPr>
      <w:rPr>
        <w:rFonts w:hint="default"/>
        <w:lang w:val="en-US" w:eastAsia="en-US" w:bidi="en-US"/>
      </w:rPr>
    </w:lvl>
    <w:lvl w:ilvl="6" w:tplc="59CE9FAA">
      <w:numFmt w:val="bullet"/>
      <w:lvlText w:val="•"/>
      <w:lvlJc w:val="left"/>
      <w:pPr>
        <w:ind w:left="6351" w:hanging="360"/>
      </w:pPr>
      <w:rPr>
        <w:rFonts w:hint="default"/>
        <w:lang w:val="en-US" w:eastAsia="en-US" w:bidi="en-US"/>
      </w:rPr>
    </w:lvl>
    <w:lvl w:ilvl="7" w:tplc="DD408D3C">
      <w:numFmt w:val="bullet"/>
      <w:lvlText w:val="•"/>
      <w:lvlJc w:val="left"/>
      <w:pPr>
        <w:ind w:left="7433" w:hanging="360"/>
      </w:pPr>
      <w:rPr>
        <w:rFonts w:hint="default"/>
        <w:lang w:val="en-US" w:eastAsia="en-US" w:bidi="en-US"/>
      </w:rPr>
    </w:lvl>
    <w:lvl w:ilvl="8" w:tplc="B67C480C">
      <w:numFmt w:val="bullet"/>
      <w:lvlText w:val="•"/>
      <w:lvlJc w:val="left"/>
      <w:pPr>
        <w:ind w:left="8515" w:hanging="360"/>
      </w:pPr>
      <w:rPr>
        <w:rFonts w:hint="default"/>
        <w:lang w:val="en-US" w:eastAsia="en-US" w:bidi="en-US"/>
      </w:rPr>
    </w:lvl>
  </w:abstractNum>
  <w:abstractNum w:abstractNumId="10" w15:restartNumberingAfterBreak="0">
    <w:nsid w:val="53B21D8F"/>
    <w:multiLevelType w:val="hybridMultilevel"/>
    <w:tmpl w:val="600C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047F"/>
    <w:multiLevelType w:val="hybridMultilevel"/>
    <w:tmpl w:val="52C82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02B47"/>
    <w:multiLevelType w:val="hybridMultilevel"/>
    <w:tmpl w:val="0F1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75036"/>
    <w:multiLevelType w:val="hybridMultilevel"/>
    <w:tmpl w:val="B5F88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85EBD"/>
    <w:multiLevelType w:val="hybridMultilevel"/>
    <w:tmpl w:val="878ED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2"/>
  </w:num>
  <w:num w:numId="5">
    <w:abstractNumId w:val="5"/>
  </w:num>
  <w:num w:numId="6">
    <w:abstractNumId w:val="3"/>
  </w:num>
  <w:num w:numId="7">
    <w:abstractNumId w:val="1"/>
  </w:num>
  <w:num w:numId="8">
    <w:abstractNumId w:val="2"/>
  </w:num>
  <w:num w:numId="9">
    <w:abstractNumId w:val="10"/>
  </w:num>
  <w:num w:numId="10">
    <w:abstractNumId w:val="4"/>
  </w:num>
  <w:num w:numId="11">
    <w:abstractNumId w:val="0"/>
  </w:num>
  <w:num w:numId="12">
    <w:abstractNumId w:val="8"/>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D7"/>
    <w:rsid w:val="000043AF"/>
    <w:rsid w:val="00004D0A"/>
    <w:rsid w:val="00026736"/>
    <w:rsid w:val="00050524"/>
    <w:rsid w:val="000F5CB6"/>
    <w:rsid w:val="001C19C8"/>
    <w:rsid w:val="002003A0"/>
    <w:rsid w:val="0025150F"/>
    <w:rsid w:val="002644A9"/>
    <w:rsid w:val="00265A6A"/>
    <w:rsid w:val="002B1EB1"/>
    <w:rsid w:val="002D0110"/>
    <w:rsid w:val="003A2405"/>
    <w:rsid w:val="003D0279"/>
    <w:rsid w:val="003E477C"/>
    <w:rsid w:val="00463679"/>
    <w:rsid w:val="004A01CD"/>
    <w:rsid w:val="004D77E4"/>
    <w:rsid w:val="00500D85"/>
    <w:rsid w:val="00535B93"/>
    <w:rsid w:val="0065737B"/>
    <w:rsid w:val="007E2AEA"/>
    <w:rsid w:val="007F2DD2"/>
    <w:rsid w:val="00855F08"/>
    <w:rsid w:val="008747B1"/>
    <w:rsid w:val="0088660C"/>
    <w:rsid w:val="00897F67"/>
    <w:rsid w:val="008D5CF4"/>
    <w:rsid w:val="009022E0"/>
    <w:rsid w:val="009C71B4"/>
    <w:rsid w:val="00A13C9C"/>
    <w:rsid w:val="00A20583"/>
    <w:rsid w:val="00A21033"/>
    <w:rsid w:val="00A37410"/>
    <w:rsid w:val="00A37DFD"/>
    <w:rsid w:val="00A65E75"/>
    <w:rsid w:val="00AB1E31"/>
    <w:rsid w:val="00AD1B08"/>
    <w:rsid w:val="00AE3032"/>
    <w:rsid w:val="00B3049C"/>
    <w:rsid w:val="00B90814"/>
    <w:rsid w:val="00B91C4B"/>
    <w:rsid w:val="00BA5B43"/>
    <w:rsid w:val="00BC4B38"/>
    <w:rsid w:val="00C31D09"/>
    <w:rsid w:val="00C64D2F"/>
    <w:rsid w:val="00D33112"/>
    <w:rsid w:val="00D92158"/>
    <w:rsid w:val="00DF29DE"/>
    <w:rsid w:val="00E12A87"/>
    <w:rsid w:val="00EF43D7"/>
    <w:rsid w:val="00F202E4"/>
    <w:rsid w:val="00F75503"/>
    <w:rsid w:val="00F91487"/>
    <w:rsid w:val="00FD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8D3938"/>
  <w15:docId w15:val="{873AF0A5-8D38-46EB-9BD2-82810F99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F43D7"/>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EF43D7"/>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43D7"/>
    <w:rPr>
      <w:rFonts w:ascii="Calibri" w:eastAsia="Calibri" w:hAnsi="Calibri" w:cs="Calibri"/>
      <w:b/>
      <w:bCs/>
      <w:sz w:val="24"/>
      <w:szCs w:val="24"/>
      <w:lang w:bidi="en-US"/>
    </w:rPr>
  </w:style>
  <w:style w:type="paragraph" w:styleId="BodyText">
    <w:name w:val="Body Text"/>
    <w:basedOn w:val="Normal"/>
    <w:link w:val="BodyTextChar"/>
    <w:uiPriority w:val="1"/>
    <w:qFormat/>
    <w:rsid w:val="00EF43D7"/>
    <w:rPr>
      <w:sz w:val="24"/>
      <w:szCs w:val="24"/>
    </w:rPr>
  </w:style>
  <w:style w:type="character" w:customStyle="1" w:styleId="BodyTextChar">
    <w:name w:val="Body Text Char"/>
    <w:basedOn w:val="DefaultParagraphFont"/>
    <w:link w:val="BodyText"/>
    <w:uiPriority w:val="1"/>
    <w:rsid w:val="00EF43D7"/>
    <w:rPr>
      <w:rFonts w:ascii="Calibri" w:eastAsia="Calibri" w:hAnsi="Calibri" w:cs="Calibri"/>
      <w:sz w:val="24"/>
      <w:szCs w:val="24"/>
      <w:lang w:bidi="en-US"/>
    </w:rPr>
  </w:style>
  <w:style w:type="paragraph" w:styleId="ListParagraph">
    <w:name w:val="List Paragraph"/>
    <w:basedOn w:val="Normal"/>
    <w:uiPriority w:val="1"/>
    <w:qFormat/>
    <w:rsid w:val="00EF43D7"/>
    <w:pPr>
      <w:spacing w:before="16"/>
      <w:ind w:left="948" w:hanging="360"/>
    </w:pPr>
  </w:style>
  <w:style w:type="paragraph" w:customStyle="1" w:styleId="TableParagraph">
    <w:name w:val="Table Paragraph"/>
    <w:basedOn w:val="Normal"/>
    <w:uiPriority w:val="1"/>
    <w:qFormat/>
    <w:rsid w:val="00EF43D7"/>
    <w:pPr>
      <w:spacing w:before="9"/>
      <w:ind w:left="107"/>
    </w:pPr>
  </w:style>
  <w:style w:type="paragraph" w:styleId="Footer">
    <w:name w:val="footer"/>
    <w:basedOn w:val="Normal"/>
    <w:link w:val="FooterChar"/>
    <w:uiPriority w:val="99"/>
    <w:unhideWhenUsed/>
    <w:rsid w:val="00EF43D7"/>
    <w:pPr>
      <w:tabs>
        <w:tab w:val="center" w:pos="4680"/>
        <w:tab w:val="right" w:pos="9360"/>
      </w:tabs>
    </w:pPr>
  </w:style>
  <w:style w:type="character" w:customStyle="1" w:styleId="FooterChar">
    <w:name w:val="Footer Char"/>
    <w:basedOn w:val="DefaultParagraphFont"/>
    <w:link w:val="Footer"/>
    <w:uiPriority w:val="99"/>
    <w:rsid w:val="00EF43D7"/>
    <w:rPr>
      <w:rFonts w:ascii="Calibri" w:eastAsia="Calibri" w:hAnsi="Calibri" w:cs="Calibri"/>
      <w:lang w:bidi="en-US"/>
    </w:rPr>
  </w:style>
  <w:style w:type="character" w:styleId="FootnoteReference">
    <w:name w:val="footnote reference"/>
    <w:basedOn w:val="DefaultParagraphFont"/>
    <w:uiPriority w:val="99"/>
    <w:semiHidden/>
    <w:unhideWhenUsed/>
    <w:rsid w:val="00EF43D7"/>
    <w:rPr>
      <w:vertAlign w:val="superscript"/>
    </w:rPr>
  </w:style>
  <w:style w:type="character" w:styleId="CommentReference">
    <w:name w:val="annotation reference"/>
    <w:basedOn w:val="DefaultParagraphFont"/>
    <w:uiPriority w:val="99"/>
    <w:semiHidden/>
    <w:unhideWhenUsed/>
    <w:rsid w:val="00EF43D7"/>
    <w:rPr>
      <w:sz w:val="18"/>
      <w:szCs w:val="18"/>
    </w:rPr>
  </w:style>
  <w:style w:type="paragraph" w:styleId="CommentText">
    <w:name w:val="annotation text"/>
    <w:basedOn w:val="Normal"/>
    <w:link w:val="CommentTextChar"/>
    <w:uiPriority w:val="99"/>
    <w:semiHidden/>
    <w:unhideWhenUsed/>
    <w:rsid w:val="00EF43D7"/>
    <w:rPr>
      <w:sz w:val="24"/>
      <w:szCs w:val="24"/>
    </w:rPr>
  </w:style>
  <w:style w:type="character" w:customStyle="1" w:styleId="CommentTextChar">
    <w:name w:val="Comment Text Char"/>
    <w:basedOn w:val="DefaultParagraphFont"/>
    <w:link w:val="CommentText"/>
    <w:uiPriority w:val="99"/>
    <w:semiHidden/>
    <w:rsid w:val="00EF43D7"/>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EF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D7"/>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BA5B43"/>
    <w:rPr>
      <w:b/>
      <w:bCs/>
      <w:sz w:val="20"/>
      <w:szCs w:val="20"/>
    </w:rPr>
  </w:style>
  <w:style w:type="character" w:customStyle="1" w:styleId="CommentSubjectChar">
    <w:name w:val="Comment Subject Char"/>
    <w:basedOn w:val="CommentTextChar"/>
    <w:link w:val="CommentSubject"/>
    <w:uiPriority w:val="99"/>
    <w:semiHidden/>
    <w:rsid w:val="00BA5B43"/>
    <w:rPr>
      <w:rFonts w:ascii="Calibri" w:eastAsia="Calibri" w:hAnsi="Calibri" w:cs="Calibri"/>
      <w:b/>
      <w:bCs/>
      <w:sz w:val="20"/>
      <w:szCs w:val="20"/>
      <w:lang w:bidi="en-US"/>
    </w:rPr>
  </w:style>
  <w:style w:type="paragraph" w:styleId="Header">
    <w:name w:val="header"/>
    <w:basedOn w:val="Normal"/>
    <w:link w:val="HeaderChar"/>
    <w:uiPriority w:val="99"/>
    <w:unhideWhenUsed/>
    <w:rsid w:val="008D5CF4"/>
    <w:pPr>
      <w:tabs>
        <w:tab w:val="center" w:pos="4680"/>
        <w:tab w:val="right" w:pos="9360"/>
      </w:tabs>
    </w:pPr>
  </w:style>
  <w:style w:type="character" w:customStyle="1" w:styleId="HeaderChar">
    <w:name w:val="Header Char"/>
    <w:basedOn w:val="DefaultParagraphFont"/>
    <w:link w:val="Header"/>
    <w:uiPriority w:val="99"/>
    <w:rsid w:val="008D5CF4"/>
    <w:rPr>
      <w:rFonts w:ascii="Calibri" w:eastAsia="Calibri" w:hAnsi="Calibri" w:cs="Calibri"/>
      <w:lang w:bidi="en-US"/>
    </w:rPr>
  </w:style>
  <w:style w:type="paragraph" w:styleId="FootnoteText">
    <w:name w:val="footnote text"/>
    <w:basedOn w:val="Normal"/>
    <w:link w:val="FootnoteTextChar"/>
    <w:uiPriority w:val="99"/>
    <w:semiHidden/>
    <w:unhideWhenUsed/>
    <w:rsid w:val="00D92158"/>
    <w:rPr>
      <w:sz w:val="20"/>
      <w:szCs w:val="20"/>
    </w:rPr>
  </w:style>
  <w:style w:type="character" w:customStyle="1" w:styleId="FootnoteTextChar">
    <w:name w:val="Footnote Text Char"/>
    <w:basedOn w:val="DefaultParagraphFont"/>
    <w:link w:val="FootnoteText"/>
    <w:uiPriority w:val="99"/>
    <w:semiHidden/>
    <w:rsid w:val="00D92158"/>
    <w:rPr>
      <w:rFonts w:ascii="Calibri" w:eastAsia="Calibri" w:hAnsi="Calibri" w:cs="Calibri"/>
      <w:sz w:val="20"/>
      <w:szCs w:val="20"/>
      <w:lang w:bidi="en-US"/>
    </w:rPr>
  </w:style>
  <w:style w:type="character" w:styleId="Hyperlink">
    <w:name w:val="Hyperlink"/>
    <w:basedOn w:val="DefaultParagraphFont"/>
    <w:uiPriority w:val="99"/>
    <w:unhideWhenUsed/>
    <w:rsid w:val="002003A0"/>
    <w:rPr>
      <w:color w:val="0563C1" w:themeColor="hyperlink"/>
      <w:u w:val="single"/>
    </w:rPr>
  </w:style>
  <w:style w:type="character" w:styleId="UnresolvedMention">
    <w:name w:val="Unresolved Mention"/>
    <w:basedOn w:val="DefaultParagraphFont"/>
    <w:uiPriority w:val="99"/>
    <w:semiHidden/>
    <w:unhideWhenUsed/>
    <w:rsid w:val="0020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0963">
      <w:bodyDiv w:val="1"/>
      <w:marLeft w:val="0"/>
      <w:marRight w:val="0"/>
      <w:marTop w:val="0"/>
      <w:marBottom w:val="0"/>
      <w:divBdr>
        <w:top w:val="none" w:sz="0" w:space="0" w:color="auto"/>
        <w:left w:val="none" w:sz="0" w:space="0" w:color="auto"/>
        <w:bottom w:val="none" w:sz="0" w:space="0" w:color="auto"/>
        <w:right w:val="none" w:sz="0" w:space="0" w:color="auto"/>
      </w:divBdr>
    </w:div>
    <w:div w:id="941915039">
      <w:bodyDiv w:val="1"/>
      <w:marLeft w:val="0"/>
      <w:marRight w:val="0"/>
      <w:marTop w:val="0"/>
      <w:marBottom w:val="0"/>
      <w:divBdr>
        <w:top w:val="none" w:sz="0" w:space="0" w:color="auto"/>
        <w:left w:val="none" w:sz="0" w:space="0" w:color="auto"/>
        <w:bottom w:val="none" w:sz="0" w:space="0" w:color="auto"/>
        <w:right w:val="none" w:sz="0" w:space="0" w:color="auto"/>
      </w:divBdr>
    </w:div>
    <w:div w:id="14747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ke.odenthal@ci.stpaul.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council.org/Communities/Services/Livable-Communities-Grants/2017-Ownership-and-Rent-Affordability-Limits.aspx" TargetMode="External"/><Relationship Id="rId5" Type="http://schemas.openxmlformats.org/officeDocument/2006/relationships/webSettings" Target="webSettings.xml"/><Relationship Id="rId10" Type="http://schemas.openxmlformats.org/officeDocument/2006/relationships/hyperlink" Target="http://www.stpha.org/section-8"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10A4-1512-44FD-A29C-BDDFF9E0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Atangana, Jules (CI-StPaul)</dc:creator>
  <cp:lastModifiedBy>Odenthal, Luke (CI-StPaul)</cp:lastModifiedBy>
  <cp:revision>7</cp:revision>
  <cp:lastPrinted>2020-01-08T18:30:00Z</cp:lastPrinted>
  <dcterms:created xsi:type="dcterms:W3CDTF">2020-01-08T18:23:00Z</dcterms:created>
  <dcterms:modified xsi:type="dcterms:W3CDTF">2020-01-15T21:56:00Z</dcterms:modified>
</cp:coreProperties>
</file>