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2C488" w14:textId="77777777" w:rsidR="006717B9" w:rsidRPr="00751287" w:rsidRDefault="006717B9" w:rsidP="006717B9">
      <w:pPr>
        <w:tabs>
          <w:tab w:val="left" w:pos="180"/>
        </w:tabs>
        <w:jc w:val="center"/>
        <w:rPr>
          <w:rFonts w:ascii="Arial" w:hAnsi="Arial" w:cs="Arial"/>
          <w:b/>
          <w:color w:val="000000"/>
          <w:sz w:val="22"/>
          <w:szCs w:val="22"/>
        </w:rPr>
      </w:pPr>
      <w:r w:rsidRPr="00751287">
        <w:rPr>
          <w:rFonts w:ascii="Arial" w:hAnsi="Arial" w:cs="Arial"/>
          <w:b/>
          <w:color w:val="000000"/>
          <w:sz w:val="22"/>
          <w:szCs w:val="22"/>
        </w:rPr>
        <w:t>ACTION MINUTES OF THE HERITAGE PRESERVATION COMMISSION</w:t>
      </w:r>
    </w:p>
    <w:p w14:paraId="193A48CF" w14:textId="77777777" w:rsidR="006717B9" w:rsidRPr="00751287" w:rsidRDefault="006717B9" w:rsidP="006717B9">
      <w:pPr>
        <w:tabs>
          <w:tab w:val="left" w:pos="180"/>
        </w:tabs>
        <w:jc w:val="center"/>
        <w:rPr>
          <w:rFonts w:ascii="Arial" w:hAnsi="Arial" w:cs="Arial"/>
          <w:b/>
          <w:color w:val="000000"/>
          <w:sz w:val="22"/>
          <w:szCs w:val="22"/>
        </w:rPr>
      </w:pPr>
      <w:r w:rsidRPr="00751287">
        <w:rPr>
          <w:rFonts w:ascii="Arial" w:hAnsi="Arial" w:cs="Arial"/>
          <w:b/>
          <w:color w:val="000000"/>
          <w:sz w:val="22"/>
          <w:szCs w:val="22"/>
        </w:rPr>
        <w:t>CITY OF SAINT PAUL, MINNESOTA</w:t>
      </w:r>
    </w:p>
    <w:p w14:paraId="6C07F7E6" w14:textId="77777777" w:rsidR="006717B9" w:rsidRPr="00751287" w:rsidRDefault="006717B9" w:rsidP="006717B9">
      <w:pPr>
        <w:tabs>
          <w:tab w:val="left" w:pos="180"/>
        </w:tabs>
        <w:jc w:val="center"/>
        <w:rPr>
          <w:rFonts w:ascii="Arial" w:hAnsi="Arial" w:cs="Arial"/>
          <w:b/>
          <w:color w:val="000000"/>
          <w:sz w:val="22"/>
          <w:szCs w:val="22"/>
        </w:rPr>
      </w:pPr>
      <w:r w:rsidRPr="00751287">
        <w:rPr>
          <w:rFonts w:ascii="Arial" w:hAnsi="Arial" w:cs="Arial"/>
          <w:b/>
          <w:color w:val="000000"/>
          <w:sz w:val="22"/>
          <w:szCs w:val="22"/>
        </w:rPr>
        <w:t>City Hall/Court House, 15 Kellogg Boulevard West, Lower Level - Room 40</w:t>
      </w:r>
    </w:p>
    <w:p w14:paraId="08BE366F" w14:textId="77777777" w:rsidR="006717B9" w:rsidRPr="00751287" w:rsidRDefault="006717B9" w:rsidP="006717B9">
      <w:pPr>
        <w:tabs>
          <w:tab w:val="left" w:pos="180"/>
        </w:tabs>
        <w:jc w:val="center"/>
        <w:rPr>
          <w:rFonts w:ascii="Arial" w:hAnsi="Arial" w:cs="Arial"/>
          <w:b/>
          <w:color w:val="000000"/>
          <w:sz w:val="22"/>
          <w:szCs w:val="22"/>
        </w:rPr>
      </w:pPr>
    </w:p>
    <w:p w14:paraId="043AE7D1" w14:textId="703F36DF" w:rsidR="006717B9" w:rsidRPr="00751287" w:rsidRDefault="00A11291" w:rsidP="006717B9">
      <w:pPr>
        <w:tabs>
          <w:tab w:val="left" w:pos="180"/>
        </w:tabs>
        <w:jc w:val="center"/>
        <w:rPr>
          <w:rFonts w:ascii="Arial" w:hAnsi="Arial" w:cs="Arial"/>
          <w:b/>
          <w:color w:val="000000"/>
          <w:sz w:val="22"/>
          <w:szCs w:val="22"/>
        </w:rPr>
      </w:pPr>
      <w:r>
        <w:rPr>
          <w:rFonts w:ascii="Arial" w:hAnsi="Arial" w:cs="Arial"/>
          <w:b/>
          <w:color w:val="000000"/>
          <w:sz w:val="22"/>
          <w:szCs w:val="22"/>
        </w:rPr>
        <w:t>April 12</w:t>
      </w:r>
      <w:r w:rsidR="00164A87">
        <w:rPr>
          <w:rFonts w:ascii="Arial" w:hAnsi="Arial" w:cs="Arial"/>
          <w:b/>
          <w:color w:val="000000"/>
          <w:sz w:val="22"/>
          <w:szCs w:val="22"/>
        </w:rPr>
        <w:t>, 2018</w:t>
      </w:r>
    </w:p>
    <w:p w14:paraId="62DBE5D6" w14:textId="77777777" w:rsidR="006717B9" w:rsidRPr="00751287" w:rsidRDefault="006717B9" w:rsidP="006717B9">
      <w:pPr>
        <w:tabs>
          <w:tab w:val="left" w:pos="180"/>
          <w:tab w:val="left" w:pos="1620"/>
        </w:tabs>
        <w:spacing w:after="120"/>
        <w:rPr>
          <w:rFonts w:ascii="Arial" w:hAnsi="Arial" w:cs="Arial"/>
          <w:color w:val="000000"/>
          <w:sz w:val="22"/>
          <w:szCs w:val="22"/>
          <w:u w:val="double"/>
        </w:rPr>
      </w:pP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p>
    <w:p w14:paraId="78110629" w14:textId="1C540143" w:rsidR="006717B9" w:rsidRDefault="006717B9" w:rsidP="006717B9">
      <w:pPr>
        <w:tabs>
          <w:tab w:val="left" w:pos="180"/>
          <w:tab w:val="left" w:pos="1080"/>
          <w:tab w:val="left" w:pos="1800"/>
          <w:tab w:val="left" w:pos="4346"/>
        </w:tabs>
        <w:rPr>
          <w:rFonts w:ascii="Arial" w:hAnsi="Arial" w:cs="Arial"/>
          <w:color w:val="000000"/>
          <w:sz w:val="22"/>
          <w:szCs w:val="22"/>
        </w:rPr>
      </w:pPr>
      <w:r w:rsidRPr="00751287">
        <w:rPr>
          <w:rFonts w:ascii="Arial" w:hAnsi="Arial" w:cs="Arial"/>
          <w:b/>
          <w:color w:val="000000"/>
          <w:sz w:val="22"/>
          <w:szCs w:val="22"/>
        </w:rPr>
        <w:t>Present:</w:t>
      </w:r>
      <w:r w:rsidRPr="00751287">
        <w:rPr>
          <w:rFonts w:ascii="Arial" w:hAnsi="Arial" w:cs="Arial"/>
          <w:color w:val="000000"/>
          <w:sz w:val="22"/>
          <w:szCs w:val="22"/>
        </w:rPr>
        <w:t xml:space="preserve"> </w:t>
      </w:r>
      <w:r w:rsidR="00164A87" w:rsidRPr="00751287">
        <w:rPr>
          <w:rFonts w:ascii="Arial" w:hAnsi="Arial" w:cs="Arial"/>
          <w:color w:val="000000"/>
          <w:sz w:val="22"/>
          <w:szCs w:val="22"/>
        </w:rPr>
        <w:t>Michael Justin, Barbara Bezat</w:t>
      </w:r>
      <w:r w:rsidR="00164A87">
        <w:rPr>
          <w:rFonts w:ascii="Arial" w:hAnsi="Arial" w:cs="Arial"/>
          <w:color w:val="000000"/>
          <w:sz w:val="22"/>
          <w:szCs w:val="22"/>
        </w:rPr>
        <w:t xml:space="preserve">, Robert Ferguson, Steve George, Teresa Kimker, </w:t>
      </w:r>
      <w:r w:rsidR="00A11291" w:rsidRPr="00751287">
        <w:rPr>
          <w:rFonts w:ascii="Arial" w:hAnsi="Arial" w:cs="Arial"/>
          <w:color w:val="000000"/>
          <w:sz w:val="22"/>
          <w:szCs w:val="22"/>
        </w:rPr>
        <w:t>Bill Lightner</w:t>
      </w:r>
      <w:r w:rsidR="00A11291">
        <w:rPr>
          <w:rFonts w:ascii="Arial" w:hAnsi="Arial" w:cs="Arial"/>
          <w:color w:val="000000"/>
          <w:sz w:val="22"/>
          <w:szCs w:val="22"/>
        </w:rPr>
        <w:t>,</w:t>
      </w:r>
      <w:r w:rsidR="00A11291" w:rsidRPr="00751287">
        <w:rPr>
          <w:rFonts w:ascii="Arial" w:hAnsi="Arial" w:cs="Arial"/>
          <w:color w:val="000000"/>
          <w:sz w:val="22"/>
          <w:szCs w:val="22"/>
        </w:rPr>
        <w:t xml:space="preserve"> </w:t>
      </w:r>
      <w:r w:rsidR="00164A87" w:rsidRPr="00751287">
        <w:rPr>
          <w:rFonts w:ascii="Arial" w:hAnsi="Arial" w:cs="Arial"/>
          <w:color w:val="000000"/>
          <w:sz w:val="22"/>
          <w:szCs w:val="22"/>
        </w:rPr>
        <w:t>Stuart MacDonald</w:t>
      </w:r>
      <w:r w:rsidR="00164A87">
        <w:rPr>
          <w:rFonts w:ascii="Arial" w:hAnsi="Arial" w:cs="Arial"/>
          <w:color w:val="000000"/>
          <w:sz w:val="22"/>
          <w:szCs w:val="22"/>
        </w:rPr>
        <w:t>,</w:t>
      </w:r>
      <w:r w:rsidR="00164A87" w:rsidRPr="00751287">
        <w:rPr>
          <w:rFonts w:ascii="Arial" w:hAnsi="Arial" w:cs="Arial"/>
          <w:color w:val="000000"/>
          <w:sz w:val="22"/>
          <w:szCs w:val="22"/>
        </w:rPr>
        <w:t xml:space="preserve"> </w:t>
      </w:r>
      <w:r w:rsidR="00A11291" w:rsidRPr="00751287">
        <w:rPr>
          <w:rFonts w:ascii="Arial" w:hAnsi="Arial" w:cs="Arial"/>
          <w:color w:val="000000"/>
          <w:sz w:val="22"/>
          <w:szCs w:val="22"/>
        </w:rPr>
        <w:t>Joe Peroutka</w:t>
      </w:r>
      <w:r w:rsidR="00A11291">
        <w:rPr>
          <w:rFonts w:ascii="Arial" w:hAnsi="Arial" w:cs="Arial"/>
          <w:color w:val="000000"/>
          <w:sz w:val="22"/>
          <w:szCs w:val="22"/>
        </w:rPr>
        <w:t>,</w:t>
      </w:r>
      <w:r w:rsidR="00A11291" w:rsidRPr="00751287">
        <w:rPr>
          <w:rFonts w:ascii="Arial" w:hAnsi="Arial" w:cs="Arial"/>
          <w:color w:val="000000"/>
          <w:sz w:val="22"/>
          <w:szCs w:val="22"/>
        </w:rPr>
        <w:t xml:space="preserve"> </w:t>
      </w:r>
      <w:r w:rsidR="00164A87" w:rsidRPr="00751287">
        <w:rPr>
          <w:rFonts w:ascii="Arial" w:hAnsi="Arial" w:cs="Arial"/>
          <w:color w:val="000000"/>
          <w:sz w:val="22"/>
          <w:szCs w:val="22"/>
        </w:rPr>
        <w:t>Casie Radford</w:t>
      </w:r>
      <w:r w:rsidR="00164A87">
        <w:rPr>
          <w:rFonts w:ascii="Arial" w:hAnsi="Arial" w:cs="Arial"/>
          <w:color w:val="000000"/>
          <w:sz w:val="22"/>
          <w:szCs w:val="22"/>
        </w:rPr>
        <w:t xml:space="preserve">, </w:t>
      </w:r>
      <w:r w:rsidR="00164A87" w:rsidRPr="00751287">
        <w:rPr>
          <w:rFonts w:ascii="Arial" w:hAnsi="Arial" w:cs="Arial"/>
          <w:color w:val="000000"/>
          <w:sz w:val="22"/>
          <w:szCs w:val="22"/>
        </w:rPr>
        <w:t>Steve Trimble</w:t>
      </w:r>
      <w:r w:rsidR="001C3D27">
        <w:rPr>
          <w:rFonts w:ascii="Arial" w:hAnsi="Arial" w:cs="Arial"/>
          <w:color w:val="000000"/>
          <w:sz w:val="22"/>
          <w:szCs w:val="22"/>
        </w:rPr>
        <w:t xml:space="preserve">, </w:t>
      </w:r>
    </w:p>
    <w:p w14:paraId="7B6BCEC4" w14:textId="5DC12B60" w:rsidR="009C062D" w:rsidRPr="009C062D" w:rsidRDefault="009C062D" w:rsidP="006717B9">
      <w:pPr>
        <w:tabs>
          <w:tab w:val="left" w:pos="180"/>
          <w:tab w:val="left" w:pos="1080"/>
          <w:tab w:val="left" w:pos="1800"/>
          <w:tab w:val="left" w:pos="4346"/>
        </w:tabs>
        <w:rPr>
          <w:rFonts w:ascii="Arial" w:hAnsi="Arial" w:cs="Arial"/>
          <w:color w:val="000000"/>
          <w:sz w:val="22"/>
          <w:szCs w:val="22"/>
        </w:rPr>
      </w:pPr>
      <w:r>
        <w:rPr>
          <w:rFonts w:ascii="Arial" w:hAnsi="Arial" w:cs="Arial"/>
          <w:b/>
          <w:color w:val="000000"/>
          <w:sz w:val="22"/>
          <w:szCs w:val="22"/>
        </w:rPr>
        <w:t>Absent</w:t>
      </w:r>
      <w:proofErr w:type="gramStart"/>
      <w:r>
        <w:rPr>
          <w:rFonts w:ascii="Arial" w:hAnsi="Arial" w:cs="Arial"/>
          <w:b/>
          <w:color w:val="000000"/>
          <w:sz w:val="22"/>
          <w:szCs w:val="22"/>
        </w:rPr>
        <w:t>:</w:t>
      </w:r>
      <w:r>
        <w:rPr>
          <w:rFonts w:ascii="Arial" w:hAnsi="Arial" w:cs="Arial"/>
          <w:color w:val="000000"/>
          <w:sz w:val="22"/>
          <w:szCs w:val="22"/>
        </w:rPr>
        <w:t>,</w:t>
      </w:r>
      <w:proofErr w:type="gramEnd"/>
      <w:r>
        <w:rPr>
          <w:rFonts w:ascii="Arial" w:hAnsi="Arial" w:cs="Arial"/>
          <w:color w:val="000000"/>
          <w:sz w:val="22"/>
          <w:szCs w:val="22"/>
        </w:rPr>
        <w:t xml:space="preserve"> </w:t>
      </w:r>
      <w:r w:rsidRPr="00751287">
        <w:rPr>
          <w:rFonts w:ascii="Arial" w:hAnsi="Arial" w:cs="Arial"/>
          <w:color w:val="000000"/>
          <w:sz w:val="22"/>
          <w:szCs w:val="22"/>
        </w:rPr>
        <w:t>Richard Dana</w:t>
      </w:r>
      <w:r>
        <w:rPr>
          <w:rFonts w:ascii="Arial" w:hAnsi="Arial" w:cs="Arial"/>
          <w:color w:val="000000"/>
          <w:sz w:val="22"/>
          <w:szCs w:val="22"/>
        </w:rPr>
        <w:t xml:space="preserve">, </w:t>
      </w:r>
      <w:r w:rsidR="00A11291" w:rsidRPr="00751287">
        <w:rPr>
          <w:rFonts w:ascii="Arial" w:hAnsi="Arial" w:cs="Arial"/>
          <w:color w:val="000000"/>
          <w:sz w:val="22"/>
          <w:szCs w:val="22"/>
        </w:rPr>
        <w:t>David Wagner</w:t>
      </w:r>
    </w:p>
    <w:p w14:paraId="40263906" w14:textId="56A9D904" w:rsidR="006717B9" w:rsidRPr="00751287" w:rsidRDefault="006717B9" w:rsidP="006717B9">
      <w:pPr>
        <w:tabs>
          <w:tab w:val="left" w:pos="180"/>
          <w:tab w:val="left" w:pos="1080"/>
          <w:tab w:val="left" w:pos="1800"/>
          <w:tab w:val="left" w:pos="4346"/>
        </w:tabs>
        <w:rPr>
          <w:rFonts w:ascii="Arial" w:hAnsi="Arial" w:cs="Arial"/>
          <w:color w:val="000000"/>
          <w:sz w:val="22"/>
          <w:szCs w:val="22"/>
        </w:rPr>
      </w:pPr>
      <w:r w:rsidRPr="00751287">
        <w:rPr>
          <w:rFonts w:ascii="Arial" w:hAnsi="Arial" w:cs="Arial"/>
          <w:b/>
          <w:color w:val="000000"/>
          <w:sz w:val="22"/>
          <w:szCs w:val="22"/>
        </w:rPr>
        <w:t>Staff Present</w:t>
      </w:r>
      <w:r w:rsidRPr="00751287">
        <w:rPr>
          <w:rFonts w:ascii="Arial" w:hAnsi="Arial" w:cs="Arial"/>
          <w:color w:val="000000"/>
          <w:sz w:val="22"/>
          <w:szCs w:val="22"/>
        </w:rPr>
        <w:t xml:space="preserve">: </w:t>
      </w:r>
      <w:r>
        <w:rPr>
          <w:rFonts w:ascii="Arial" w:hAnsi="Arial" w:cs="Arial"/>
          <w:color w:val="000000"/>
          <w:sz w:val="22"/>
          <w:szCs w:val="22"/>
        </w:rPr>
        <w:t>Christine Boulware, Allison Suhan</w:t>
      </w:r>
    </w:p>
    <w:p w14:paraId="156664D6" w14:textId="77777777" w:rsidR="006717B9" w:rsidRPr="00751287" w:rsidRDefault="006717B9" w:rsidP="006717B9">
      <w:pPr>
        <w:tabs>
          <w:tab w:val="left" w:pos="180"/>
          <w:tab w:val="left" w:pos="1620"/>
        </w:tabs>
        <w:spacing w:after="120"/>
        <w:rPr>
          <w:rFonts w:ascii="Arial" w:hAnsi="Arial" w:cs="Arial"/>
          <w:color w:val="000000"/>
          <w:sz w:val="22"/>
          <w:szCs w:val="22"/>
          <w:u w:val="double"/>
        </w:rPr>
      </w:pP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r w:rsidRPr="00751287">
        <w:rPr>
          <w:rFonts w:ascii="Arial" w:hAnsi="Arial" w:cs="Arial"/>
          <w:color w:val="000000"/>
          <w:sz w:val="22"/>
          <w:szCs w:val="22"/>
          <w:u w:val="double"/>
        </w:rPr>
        <w:tab/>
      </w:r>
    </w:p>
    <w:p w14:paraId="14372E6D" w14:textId="390382D4" w:rsidR="00711052" w:rsidRDefault="00711052" w:rsidP="002D137C">
      <w:pPr>
        <w:numPr>
          <w:ilvl w:val="0"/>
          <w:numId w:val="1"/>
        </w:numPr>
        <w:tabs>
          <w:tab w:val="left" w:pos="1080"/>
          <w:tab w:val="left" w:pos="1620"/>
        </w:tabs>
        <w:spacing w:after="120"/>
        <w:ind w:right="544"/>
        <w:rPr>
          <w:rFonts w:ascii="Arial" w:hAnsi="Arial" w:cs="Arial"/>
          <w:b/>
          <w:strike/>
          <w:sz w:val="20"/>
          <w:szCs w:val="22"/>
        </w:rPr>
      </w:pPr>
      <w:r>
        <w:rPr>
          <w:rFonts w:ascii="Arial" w:hAnsi="Arial" w:cs="Arial"/>
          <w:b/>
          <w:sz w:val="20"/>
          <w:szCs w:val="22"/>
        </w:rPr>
        <w:t>Call to Order</w:t>
      </w:r>
      <w:r w:rsidR="00032990">
        <w:rPr>
          <w:rFonts w:ascii="Arial" w:hAnsi="Arial" w:cs="Arial"/>
          <w:sz w:val="20"/>
          <w:szCs w:val="22"/>
        </w:rPr>
        <w:t xml:space="preserve"> 5:00pm</w:t>
      </w:r>
    </w:p>
    <w:p w14:paraId="25904CE2" w14:textId="655171A5" w:rsidR="00032990" w:rsidRPr="001A50B7" w:rsidRDefault="00032990" w:rsidP="002D137C">
      <w:pPr>
        <w:numPr>
          <w:ilvl w:val="0"/>
          <w:numId w:val="1"/>
        </w:numPr>
        <w:tabs>
          <w:tab w:val="left" w:pos="1080"/>
          <w:tab w:val="left" w:pos="1620"/>
        </w:tabs>
        <w:spacing w:after="120"/>
        <w:ind w:right="544"/>
        <w:rPr>
          <w:rFonts w:ascii="Arial" w:hAnsi="Arial" w:cs="Arial"/>
          <w:b/>
          <w:strike/>
          <w:sz w:val="16"/>
          <w:szCs w:val="20"/>
        </w:rPr>
      </w:pPr>
      <w:r w:rsidRPr="006913CC">
        <w:rPr>
          <w:rFonts w:ascii="Arial" w:hAnsi="Arial" w:cs="Arial"/>
          <w:b/>
          <w:sz w:val="20"/>
          <w:szCs w:val="20"/>
        </w:rPr>
        <w:t>Adoption of the Agenda</w:t>
      </w:r>
      <w:r>
        <w:rPr>
          <w:rFonts w:ascii="Arial" w:hAnsi="Arial" w:cs="Arial"/>
          <w:b/>
          <w:sz w:val="20"/>
          <w:szCs w:val="20"/>
        </w:rPr>
        <w:t xml:space="preserve"> </w:t>
      </w:r>
      <w:r w:rsidRPr="002D137C">
        <w:rPr>
          <w:rFonts w:ascii="Arial" w:hAnsi="Arial" w:cs="Arial"/>
          <w:sz w:val="20"/>
          <w:szCs w:val="20"/>
        </w:rPr>
        <w:t>Commissioner</w:t>
      </w:r>
      <w:r w:rsidRPr="006717B9">
        <w:rPr>
          <w:rFonts w:ascii="Arial" w:hAnsi="Arial" w:cs="Arial"/>
          <w:i/>
          <w:sz w:val="20"/>
        </w:rPr>
        <w:t xml:space="preserve"> </w:t>
      </w:r>
      <w:r w:rsidR="00A11291">
        <w:rPr>
          <w:rFonts w:ascii="Arial" w:hAnsi="Arial" w:cs="Arial"/>
          <w:i/>
          <w:sz w:val="20"/>
        </w:rPr>
        <w:t>Trimble</w:t>
      </w:r>
      <w:r w:rsidRPr="006717B9">
        <w:rPr>
          <w:rFonts w:ascii="Arial" w:hAnsi="Arial" w:cs="Arial"/>
          <w:i/>
          <w:sz w:val="20"/>
        </w:rPr>
        <w:t xml:space="preserve"> moved to a</w:t>
      </w:r>
      <w:r>
        <w:rPr>
          <w:rFonts w:ascii="Arial" w:hAnsi="Arial" w:cs="Arial"/>
          <w:i/>
          <w:sz w:val="20"/>
        </w:rPr>
        <w:t>dopt the agend</w:t>
      </w:r>
      <w:bookmarkStart w:id="0" w:name="_GoBack"/>
      <w:bookmarkEnd w:id="0"/>
      <w:r>
        <w:rPr>
          <w:rFonts w:ascii="Arial" w:hAnsi="Arial" w:cs="Arial"/>
          <w:i/>
          <w:sz w:val="20"/>
        </w:rPr>
        <w:t xml:space="preserve">a.  </w:t>
      </w:r>
      <w:r w:rsidRPr="006717B9">
        <w:rPr>
          <w:rFonts w:ascii="Arial" w:hAnsi="Arial" w:cs="Arial"/>
          <w:i/>
          <w:sz w:val="20"/>
        </w:rPr>
        <w:t xml:space="preserve">Commissioner </w:t>
      </w:r>
      <w:r w:rsidR="00A11291">
        <w:rPr>
          <w:rFonts w:ascii="Arial" w:hAnsi="Arial" w:cs="Arial"/>
          <w:i/>
          <w:sz w:val="20"/>
        </w:rPr>
        <w:t>Peroutka</w:t>
      </w:r>
      <w:r w:rsidRPr="006717B9">
        <w:rPr>
          <w:rFonts w:ascii="Arial" w:hAnsi="Arial" w:cs="Arial"/>
          <w:i/>
          <w:sz w:val="20"/>
        </w:rPr>
        <w:t xml:space="preserve"> seconded the motion. </w:t>
      </w:r>
      <w:r w:rsidRPr="006717B9">
        <w:rPr>
          <w:rFonts w:ascii="Arial" w:hAnsi="Arial" w:cs="Arial"/>
          <w:b/>
          <w:i/>
          <w:sz w:val="20"/>
        </w:rPr>
        <w:t xml:space="preserve">Motion passed </w:t>
      </w:r>
      <w:r w:rsidR="00F6332B">
        <w:rPr>
          <w:rFonts w:ascii="Arial" w:hAnsi="Arial" w:cs="Arial"/>
          <w:b/>
          <w:i/>
          <w:sz w:val="20"/>
        </w:rPr>
        <w:t>9</w:t>
      </w:r>
      <w:r w:rsidRPr="006717B9">
        <w:rPr>
          <w:rFonts w:ascii="Arial" w:hAnsi="Arial" w:cs="Arial"/>
          <w:b/>
          <w:i/>
          <w:sz w:val="20"/>
        </w:rPr>
        <w:t>-0</w:t>
      </w:r>
      <w:r w:rsidRPr="006717B9">
        <w:rPr>
          <w:rFonts w:ascii="Arial" w:hAnsi="Arial" w:cs="Arial"/>
          <w:i/>
          <w:sz w:val="20"/>
        </w:rPr>
        <w:t>.</w:t>
      </w:r>
    </w:p>
    <w:p w14:paraId="3354C0E7" w14:textId="3E5C15FF" w:rsidR="00711052" w:rsidRDefault="00711052" w:rsidP="002D137C">
      <w:pPr>
        <w:numPr>
          <w:ilvl w:val="0"/>
          <w:numId w:val="1"/>
        </w:numPr>
        <w:tabs>
          <w:tab w:val="left" w:pos="1080"/>
          <w:tab w:val="left" w:pos="1620"/>
        </w:tabs>
        <w:spacing w:after="120"/>
        <w:ind w:right="544"/>
        <w:rPr>
          <w:rFonts w:ascii="Arial" w:hAnsi="Arial" w:cs="Arial"/>
          <w:b/>
          <w:sz w:val="20"/>
          <w:szCs w:val="22"/>
        </w:rPr>
      </w:pPr>
      <w:r>
        <w:rPr>
          <w:rFonts w:ascii="Arial" w:hAnsi="Arial" w:cs="Arial"/>
          <w:b/>
          <w:sz w:val="20"/>
          <w:szCs w:val="22"/>
        </w:rPr>
        <w:t>Conflicts of Interest</w:t>
      </w:r>
      <w:r w:rsidR="00032990">
        <w:rPr>
          <w:rFonts w:ascii="Arial" w:hAnsi="Arial" w:cs="Arial"/>
          <w:b/>
          <w:sz w:val="20"/>
          <w:szCs w:val="22"/>
        </w:rPr>
        <w:t xml:space="preserve"> </w:t>
      </w:r>
      <w:r w:rsidR="00A11291" w:rsidRPr="00A11291">
        <w:rPr>
          <w:rFonts w:ascii="Arial" w:hAnsi="Arial" w:cs="Arial"/>
          <w:i/>
          <w:sz w:val="20"/>
          <w:szCs w:val="22"/>
        </w:rPr>
        <w:t>Chair Justin recused himself for the 662 Conway public hearing.</w:t>
      </w:r>
    </w:p>
    <w:p w14:paraId="339E0F55" w14:textId="1A78E396" w:rsidR="00A02E47" w:rsidRPr="00A11291" w:rsidRDefault="00711052" w:rsidP="002D137C">
      <w:pPr>
        <w:numPr>
          <w:ilvl w:val="0"/>
          <w:numId w:val="1"/>
        </w:numPr>
        <w:tabs>
          <w:tab w:val="left" w:pos="1080"/>
          <w:tab w:val="left" w:pos="1620"/>
        </w:tabs>
        <w:spacing w:after="120"/>
        <w:ind w:right="547"/>
        <w:rPr>
          <w:rFonts w:ascii="Arial" w:hAnsi="Arial" w:cs="Arial"/>
          <w:b/>
          <w:sz w:val="20"/>
          <w:szCs w:val="22"/>
        </w:rPr>
      </w:pPr>
      <w:r>
        <w:rPr>
          <w:rFonts w:ascii="Arial" w:hAnsi="Arial" w:cs="Arial"/>
          <w:b/>
          <w:sz w:val="20"/>
          <w:szCs w:val="22"/>
        </w:rPr>
        <w:t>Public Hearing/Permit Review</w:t>
      </w:r>
    </w:p>
    <w:p w14:paraId="14A73597" w14:textId="1E41916C" w:rsidR="00A11291" w:rsidRPr="00A11291" w:rsidRDefault="00A11291" w:rsidP="00A11291">
      <w:pPr>
        <w:numPr>
          <w:ilvl w:val="1"/>
          <w:numId w:val="1"/>
        </w:numPr>
        <w:spacing w:after="120"/>
        <w:rPr>
          <w:rFonts w:ascii="Arial" w:hAnsi="Arial" w:cs="Arial"/>
          <w:sz w:val="20"/>
          <w:szCs w:val="20"/>
        </w:rPr>
      </w:pPr>
      <w:r>
        <w:rPr>
          <w:rFonts w:ascii="Arial" w:hAnsi="Arial" w:cs="Arial"/>
          <w:b/>
          <w:sz w:val="20"/>
          <w:szCs w:val="20"/>
        </w:rPr>
        <w:t>662 Conway Street – Dayton’s Bluff</w:t>
      </w:r>
      <w:r w:rsidRPr="0022475D">
        <w:rPr>
          <w:rFonts w:ascii="Arial" w:hAnsi="Arial" w:cs="Arial"/>
          <w:b/>
          <w:sz w:val="20"/>
          <w:szCs w:val="20"/>
        </w:rPr>
        <w:t xml:space="preserve"> Heritage Preservation District</w:t>
      </w:r>
      <w:r>
        <w:rPr>
          <w:rFonts w:ascii="Arial" w:hAnsi="Arial" w:cs="Arial"/>
          <w:sz w:val="20"/>
          <w:szCs w:val="20"/>
        </w:rPr>
        <w:t xml:space="preserve">, by Kristen </w:t>
      </w:r>
      <w:proofErr w:type="spellStart"/>
      <w:r>
        <w:rPr>
          <w:rFonts w:ascii="Arial" w:hAnsi="Arial" w:cs="Arial"/>
          <w:sz w:val="20"/>
          <w:szCs w:val="20"/>
        </w:rPr>
        <w:t>Sachwitz</w:t>
      </w:r>
      <w:proofErr w:type="spellEnd"/>
      <w:r>
        <w:rPr>
          <w:rFonts w:ascii="Arial" w:hAnsi="Arial" w:cs="Arial"/>
          <w:sz w:val="20"/>
          <w:szCs w:val="20"/>
        </w:rPr>
        <w:t>-All Energy Solar, Erik Berger</w:t>
      </w:r>
      <w:r w:rsidR="00A04855">
        <w:rPr>
          <w:rFonts w:ascii="Arial" w:hAnsi="Arial" w:cs="Arial"/>
          <w:sz w:val="20"/>
          <w:szCs w:val="20"/>
        </w:rPr>
        <w:t xml:space="preserve">-Owner </w:t>
      </w:r>
      <w:r w:rsidRPr="0022475D">
        <w:rPr>
          <w:rFonts w:ascii="Arial" w:hAnsi="Arial" w:cs="Arial"/>
          <w:sz w:val="20"/>
          <w:szCs w:val="20"/>
        </w:rPr>
        <w:t xml:space="preserve">for review and approval of </w:t>
      </w:r>
      <w:r>
        <w:rPr>
          <w:rFonts w:ascii="Arial" w:hAnsi="Arial" w:cs="Arial"/>
          <w:sz w:val="20"/>
          <w:szCs w:val="20"/>
        </w:rPr>
        <w:t>installation of a solar system on the a contributing structure. (Suhan, 266-6643</w:t>
      </w:r>
      <w:r w:rsidRPr="0022475D">
        <w:rPr>
          <w:rFonts w:ascii="Arial" w:hAnsi="Arial" w:cs="Arial"/>
          <w:sz w:val="20"/>
          <w:szCs w:val="20"/>
        </w:rPr>
        <w:t xml:space="preserve">)  </w:t>
      </w:r>
      <w:r w:rsidRPr="0022475D">
        <w:rPr>
          <w:rFonts w:ascii="Arial" w:hAnsi="Arial" w:cs="Arial"/>
          <w:b/>
          <w:sz w:val="20"/>
          <w:szCs w:val="20"/>
        </w:rPr>
        <w:t>File# HPC 18-01</w:t>
      </w:r>
      <w:r>
        <w:rPr>
          <w:rFonts w:ascii="Arial" w:hAnsi="Arial" w:cs="Arial"/>
          <w:b/>
          <w:sz w:val="20"/>
          <w:szCs w:val="20"/>
        </w:rPr>
        <w:t>9</w:t>
      </w:r>
    </w:p>
    <w:p w14:paraId="15B0B3C6" w14:textId="54ACA5F8" w:rsidR="00A11291" w:rsidRPr="00A11291" w:rsidRDefault="00A11291" w:rsidP="00A11291">
      <w:pPr>
        <w:spacing w:after="120"/>
        <w:ind w:left="720"/>
        <w:rPr>
          <w:rFonts w:ascii="Arial" w:hAnsi="Arial" w:cs="Arial"/>
          <w:sz w:val="20"/>
          <w:szCs w:val="20"/>
        </w:rPr>
      </w:pPr>
      <w:r>
        <w:rPr>
          <w:rFonts w:ascii="Arial" w:hAnsi="Arial" w:cs="Arial"/>
          <w:i/>
          <w:sz w:val="20"/>
          <w:szCs w:val="20"/>
        </w:rPr>
        <w:t>Commissioners inquired about the possibility of siting a solar panel array on the opposite (north) side behind the dormer. The applicant stated that because it is on the north side, it is not possible. Commissioners asked if solar panels on the garage were possible. The applicant stated that there is too much tree coverage.</w:t>
      </w:r>
      <w:r w:rsidR="00A04855">
        <w:rPr>
          <w:rFonts w:ascii="Arial" w:hAnsi="Arial" w:cs="Arial"/>
          <w:i/>
          <w:sz w:val="20"/>
          <w:szCs w:val="20"/>
        </w:rPr>
        <w:t xml:space="preserve"> </w:t>
      </w:r>
      <w:r w:rsidR="00E92E3D">
        <w:rPr>
          <w:rFonts w:ascii="Arial" w:hAnsi="Arial" w:cs="Arial"/>
          <w:i/>
          <w:sz w:val="20"/>
          <w:szCs w:val="20"/>
        </w:rPr>
        <w:t xml:space="preserve">Commissioners inquired if it would be viable with only the second array? The applicant stated that it wouldn’t have the same cost efficiency. Commissioner Peroutka moved </w:t>
      </w:r>
      <w:r w:rsidR="00E92E3D" w:rsidRPr="00E92E3D">
        <w:rPr>
          <w:rFonts w:ascii="Arial" w:hAnsi="Arial" w:cs="Arial"/>
          <w:i/>
          <w:sz w:val="20"/>
          <w:szCs w:val="20"/>
        </w:rPr>
        <w:t>move to deny application #18-019 for the installation of a solar panel array as per the findings of fact, presented testimony, submitted documentation and information provided in the staff report.</w:t>
      </w:r>
      <w:r w:rsidR="00A04855">
        <w:rPr>
          <w:rFonts w:ascii="Arial" w:hAnsi="Arial" w:cs="Arial"/>
          <w:i/>
          <w:sz w:val="20"/>
          <w:szCs w:val="20"/>
        </w:rPr>
        <w:t xml:space="preserve"> </w:t>
      </w:r>
      <w:r w:rsidR="00BF6AA0">
        <w:rPr>
          <w:rFonts w:ascii="Arial" w:hAnsi="Arial" w:cs="Arial"/>
          <w:i/>
          <w:sz w:val="20"/>
          <w:szCs w:val="20"/>
        </w:rPr>
        <w:t xml:space="preserve">Commissioner Radford seconded the motion. </w:t>
      </w:r>
      <w:r w:rsidR="00BF6AA0" w:rsidRPr="00BF6AA0">
        <w:rPr>
          <w:rFonts w:ascii="Arial" w:hAnsi="Arial" w:cs="Arial"/>
          <w:b/>
          <w:i/>
          <w:sz w:val="20"/>
          <w:szCs w:val="20"/>
        </w:rPr>
        <w:t>Motion passed 6-2 (George, MacDonald).</w:t>
      </w:r>
    </w:p>
    <w:p w14:paraId="33BA6A6D" w14:textId="244736DD" w:rsidR="00711052" w:rsidRDefault="00711052" w:rsidP="002D137C">
      <w:pPr>
        <w:numPr>
          <w:ilvl w:val="0"/>
          <w:numId w:val="1"/>
        </w:numPr>
        <w:tabs>
          <w:tab w:val="left" w:pos="1080"/>
          <w:tab w:val="left" w:pos="1620"/>
        </w:tabs>
        <w:spacing w:after="120"/>
        <w:ind w:right="544"/>
        <w:rPr>
          <w:rFonts w:ascii="Arial" w:hAnsi="Arial" w:cs="Arial"/>
          <w:b/>
          <w:sz w:val="20"/>
          <w:szCs w:val="20"/>
        </w:rPr>
      </w:pPr>
      <w:r>
        <w:rPr>
          <w:rFonts w:ascii="Arial" w:hAnsi="Arial" w:cs="Arial"/>
          <w:b/>
          <w:sz w:val="20"/>
          <w:szCs w:val="20"/>
        </w:rPr>
        <w:t>Old Business</w:t>
      </w:r>
    </w:p>
    <w:p w14:paraId="21237770" w14:textId="77777777" w:rsidR="00A11291" w:rsidRDefault="00A11291" w:rsidP="00A11291">
      <w:pPr>
        <w:numPr>
          <w:ilvl w:val="1"/>
          <w:numId w:val="1"/>
        </w:numPr>
        <w:tabs>
          <w:tab w:val="left" w:pos="1620"/>
        </w:tabs>
        <w:spacing w:after="80"/>
        <w:ind w:right="544"/>
        <w:rPr>
          <w:rFonts w:ascii="Arial" w:hAnsi="Arial" w:cs="Arial"/>
          <w:b/>
          <w:sz w:val="20"/>
          <w:szCs w:val="20"/>
        </w:rPr>
      </w:pPr>
      <w:r>
        <w:rPr>
          <w:rFonts w:ascii="Arial" w:hAnsi="Arial" w:cs="Arial"/>
          <w:b/>
          <w:sz w:val="20"/>
          <w:szCs w:val="20"/>
        </w:rPr>
        <w:t xml:space="preserve">Larry Cohen Plaza, </w:t>
      </w:r>
      <w:r w:rsidRPr="001F3487">
        <w:rPr>
          <w:rFonts w:ascii="Arial" w:hAnsi="Arial" w:cs="Arial"/>
          <w:sz w:val="20"/>
          <w:szCs w:val="20"/>
        </w:rPr>
        <w:t>update by Matt Hill – former HPC member</w:t>
      </w:r>
    </w:p>
    <w:p w14:paraId="68A9B4D7" w14:textId="30FB50C8" w:rsidR="00A11291" w:rsidRDefault="00A11291" w:rsidP="00A11291">
      <w:pPr>
        <w:numPr>
          <w:ilvl w:val="1"/>
          <w:numId w:val="1"/>
        </w:numPr>
        <w:tabs>
          <w:tab w:val="left" w:pos="1620"/>
        </w:tabs>
        <w:spacing w:after="80"/>
        <w:ind w:right="544"/>
        <w:rPr>
          <w:rFonts w:ascii="Arial" w:hAnsi="Arial" w:cs="Arial"/>
          <w:b/>
          <w:sz w:val="20"/>
          <w:szCs w:val="20"/>
        </w:rPr>
      </w:pPr>
      <w:r>
        <w:rPr>
          <w:rFonts w:ascii="Arial" w:hAnsi="Arial" w:cs="Arial"/>
          <w:b/>
          <w:sz w:val="20"/>
          <w:szCs w:val="20"/>
        </w:rPr>
        <w:t xml:space="preserve">Merriam Park Intensive Level Survey update </w:t>
      </w:r>
      <w:r w:rsidRPr="001F3487">
        <w:rPr>
          <w:rFonts w:ascii="Arial" w:hAnsi="Arial" w:cs="Arial"/>
          <w:sz w:val="20"/>
          <w:szCs w:val="20"/>
        </w:rPr>
        <w:t>(Boulware, 266-6715)</w:t>
      </w:r>
      <w:r w:rsidR="00184BAF">
        <w:rPr>
          <w:rFonts w:ascii="Arial" w:hAnsi="Arial" w:cs="Arial"/>
          <w:sz w:val="20"/>
          <w:szCs w:val="20"/>
        </w:rPr>
        <w:t xml:space="preserve"> – Staff will be drafting a scope-of-work and collaborating with contracts and procurement staff to identify historic consultants on the City certification list.</w:t>
      </w:r>
    </w:p>
    <w:p w14:paraId="518B7BF0" w14:textId="2B4945C6" w:rsidR="00A11291" w:rsidRDefault="00A11291" w:rsidP="00A11291">
      <w:pPr>
        <w:numPr>
          <w:ilvl w:val="1"/>
          <w:numId w:val="1"/>
        </w:numPr>
        <w:tabs>
          <w:tab w:val="left" w:pos="1620"/>
        </w:tabs>
        <w:spacing w:after="80"/>
        <w:ind w:right="544"/>
        <w:rPr>
          <w:rFonts w:ascii="Arial" w:hAnsi="Arial" w:cs="Arial"/>
          <w:b/>
          <w:sz w:val="20"/>
          <w:szCs w:val="20"/>
        </w:rPr>
      </w:pPr>
      <w:r>
        <w:rPr>
          <w:rFonts w:ascii="Arial" w:hAnsi="Arial" w:cs="Arial"/>
          <w:b/>
          <w:sz w:val="20"/>
          <w:szCs w:val="20"/>
        </w:rPr>
        <w:t xml:space="preserve">Hamline Midway Reconnaissance Survey update </w:t>
      </w:r>
      <w:r w:rsidRPr="001F3487">
        <w:rPr>
          <w:rFonts w:ascii="Arial" w:hAnsi="Arial" w:cs="Arial"/>
          <w:sz w:val="20"/>
          <w:szCs w:val="20"/>
        </w:rPr>
        <w:t>(Boulware, 266-6715)</w:t>
      </w:r>
      <w:r w:rsidR="00184BAF">
        <w:rPr>
          <w:rFonts w:ascii="Arial" w:hAnsi="Arial" w:cs="Arial"/>
          <w:sz w:val="20"/>
          <w:szCs w:val="20"/>
        </w:rPr>
        <w:t xml:space="preserve"> – The survey and research work continues. The draft report is expected in early May and there will be a presentation of the findings to HUNAC (the advisory committee) at their May meeting.</w:t>
      </w:r>
    </w:p>
    <w:p w14:paraId="6F1E8C3D" w14:textId="32D168FA" w:rsidR="00A11291" w:rsidRPr="00184BAF" w:rsidRDefault="00A11291" w:rsidP="00A11291">
      <w:pPr>
        <w:numPr>
          <w:ilvl w:val="1"/>
          <w:numId w:val="1"/>
        </w:numPr>
        <w:tabs>
          <w:tab w:val="left" w:pos="1620"/>
        </w:tabs>
        <w:spacing w:after="80"/>
        <w:ind w:right="544"/>
        <w:rPr>
          <w:rFonts w:ascii="Arial" w:hAnsi="Arial" w:cs="Arial"/>
          <w:sz w:val="20"/>
          <w:szCs w:val="20"/>
        </w:rPr>
      </w:pPr>
      <w:r>
        <w:rPr>
          <w:rFonts w:ascii="Arial" w:hAnsi="Arial" w:cs="Arial"/>
          <w:b/>
          <w:sz w:val="20"/>
          <w:szCs w:val="20"/>
        </w:rPr>
        <w:t>Muskego Church – Heritage Preservation Site Update/</w:t>
      </w:r>
      <w:r w:rsidRPr="00184BAF">
        <w:rPr>
          <w:rFonts w:ascii="Arial" w:hAnsi="Arial" w:cs="Arial"/>
          <w:sz w:val="20"/>
          <w:szCs w:val="20"/>
        </w:rPr>
        <w:t>Revision</w:t>
      </w:r>
      <w:r w:rsidR="00184BAF" w:rsidRPr="00184BAF">
        <w:rPr>
          <w:rFonts w:ascii="Arial" w:hAnsi="Arial" w:cs="Arial"/>
          <w:sz w:val="20"/>
          <w:szCs w:val="20"/>
        </w:rPr>
        <w:t xml:space="preserve"> – Staff is discussing process with the City Attorney’s Office.</w:t>
      </w:r>
    </w:p>
    <w:p w14:paraId="1191B03E" w14:textId="655190E5" w:rsidR="00711052" w:rsidRDefault="00711052" w:rsidP="002D137C">
      <w:pPr>
        <w:numPr>
          <w:ilvl w:val="0"/>
          <w:numId w:val="1"/>
        </w:numPr>
        <w:tabs>
          <w:tab w:val="left" w:pos="1080"/>
          <w:tab w:val="left" w:pos="1170"/>
          <w:tab w:val="left" w:pos="1620"/>
        </w:tabs>
        <w:spacing w:after="120"/>
        <w:ind w:right="544"/>
        <w:rPr>
          <w:rFonts w:ascii="Arial" w:hAnsi="Arial" w:cs="Arial"/>
          <w:b/>
          <w:sz w:val="20"/>
          <w:szCs w:val="20"/>
        </w:rPr>
      </w:pPr>
      <w:r>
        <w:rPr>
          <w:rFonts w:ascii="Arial" w:hAnsi="Arial" w:cs="Arial"/>
          <w:b/>
          <w:sz w:val="20"/>
          <w:szCs w:val="20"/>
        </w:rPr>
        <w:t>New Business</w:t>
      </w:r>
      <w:r w:rsidR="00074442">
        <w:rPr>
          <w:rFonts w:ascii="Arial" w:hAnsi="Arial" w:cs="Arial"/>
          <w:b/>
          <w:sz w:val="20"/>
          <w:szCs w:val="20"/>
        </w:rPr>
        <w:t xml:space="preserve"> </w:t>
      </w:r>
    </w:p>
    <w:p w14:paraId="492A24A9" w14:textId="1002A9B0" w:rsidR="00A11291" w:rsidRDefault="00A11291" w:rsidP="00A11291">
      <w:pPr>
        <w:numPr>
          <w:ilvl w:val="1"/>
          <w:numId w:val="1"/>
        </w:numPr>
        <w:tabs>
          <w:tab w:val="left" w:pos="1170"/>
          <w:tab w:val="left" w:pos="1620"/>
        </w:tabs>
        <w:spacing w:after="80"/>
        <w:ind w:right="544"/>
        <w:rPr>
          <w:rFonts w:ascii="Arial" w:hAnsi="Arial" w:cs="Arial"/>
          <w:b/>
          <w:sz w:val="20"/>
          <w:szCs w:val="20"/>
        </w:rPr>
      </w:pPr>
      <w:r>
        <w:rPr>
          <w:rFonts w:ascii="Arial" w:hAnsi="Arial" w:cs="Arial"/>
          <w:b/>
          <w:sz w:val="20"/>
          <w:szCs w:val="20"/>
        </w:rPr>
        <w:t xml:space="preserve">Great River Passage Cultural Landscape proposal, </w:t>
      </w:r>
      <w:r w:rsidRPr="00E94118">
        <w:rPr>
          <w:rFonts w:ascii="Arial" w:hAnsi="Arial" w:cs="Arial"/>
          <w:sz w:val="20"/>
          <w:szCs w:val="20"/>
        </w:rPr>
        <w:t xml:space="preserve">presentation by Angie Tillges, Saint </w:t>
      </w:r>
      <w:r w:rsidR="00A04855">
        <w:rPr>
          <w:rFonts w:ascii="Arial" w:hAnsi="Arial" w:cs="Arial"/>
          <w:sz w:val="20"/>
          <w:szCs w:val="20"/>
        </w:rPr>
        <w:t xml:space="preserve">Paul </w:t>
      </w:r>
      <w:r w:rsidRPr="00E94118">
        <w:rPr>
          <w:rFonts w:ascii="Arial" w:hAnsi="Arial" w:cs="Arial"/>
          <w:sz w:val="20"/>
          <w:szCs w:val="20"/>
        </w:rPr>
        <w:t>Parks and Recreation</w:t>
      </w:r>
      <w:r>
        <w:rPr>
          <w:rFonts w:ascii="Arial" w:hAnsi="Arial" w:cs="Arial"/>
          <w:sz w:val="20"/>
          <w:szCs w:val="20"/>
        </w:rPr>
        <w:t xml:space="preserve"> Great River Passage Initiative</w:t>
      </w:r>
    </w:p>
    <w:p w14:paraId="70CD4760" w14:textId="77777777" w:rsidR="00A11291" w:rsidRPr="000942B2" w:rsidRDefault="00A11291" w:rsidP="00A11291">
      <w:pPr>
        <w:numPr>
          <w:ilvl w:val="1"/>
          <w:numId w:val="1"/>
        </w:numPr>
        <w:tabs>
          <w:tab w:val="left" w:pos="1170"/>
          <w:tab w:val="left" w:pos="1620"/>
        </w:tabs>
        <w:spacing w:after="80"/>
        <w:ind w:right="544"/>
        <w:rPr>
          <w:rFonts w:ascii="Arial" w:hAnsi="Arial" w:cs="Arial"/>
          <w:b/>
          <w:sz w:val="20"/>
          <w:szCs w:val="20"/>
        </w:rPr>
      </w:pPr>
      <w:r>
        <w:rPr>
          <w:rFonts w:ascii="Arial" w:hAnsi="Arial" w:cs="Arial"/>
          <w:b/>
          <w:sz w:val="20"/>
          <w:szCs w:val="20"/>
        </w:rPr>
        <w:t>Historic Hill National Register District Resurvey</w:t>
      </w:r>
      <w:r w:rsidRPr="001F3487">
        <w:rPr>
          <w:rFonts w:ascii="Arial" w:hAnsi="Arial" w:cs="Arial"/>
          <w:sz w:val="20"/>
          <w:szCs w:val="20"/>
        </w:rPr>
        <w:t xml:space="preserve"> (Boulware, 266-6715)</w:t>
      </w:r>
    </w:p>
    <w:p w14:paraId="1D22E96E" w14:textId="080C1267" w:rsidR="00711052" w:rsidRDefault="00711052" w:rsidP="002D137C">
      <w:pPr>
        <w:numPr>
          <w:ilvl w:val="0"/>
          <w:numId w:val="1"/>
        </w:numPr>
        <w:tabs>
          <w:tab w:val="left" w:pos="1080"/>
          <w:tab w:val="left" w:pos="1170"/>
          <w:tab w:val="left" w:pos="1620"/>
        </w:tabs>
        <w:spacing w:after="120"/>
        <w:ind w:right="544"/>
        <w:rPr>
          <w:rFonts w:ascii="Arial" w:hAnsi="Arial" w:cs="Arial"/>
          <w:b/>
          <w:sz w:val="20"/>
          <w:szCs w:val="20"/>
        </w:rPr>
      </w:pPr>
      <w:r>
        <w:rPr>
          <w:rFonts w:ascii="Arial" w:hAnsi="Arial" w:cs="Arial"/>
          <w:b/>
          <w:sz w:val="20"/>
          <w:szCs w:val="20"/>
        </w:rPr>
        <w:t>Policy &amp; Procedures</w:t>
      </w:r>
    </w:p>
    <w:p w14:paraId="4AD2D7E1" w14:textId="77777777" w:rsidR="00A11291" w:rsidRDefault="00A11291" w:rsidP="00A11291">
      <w:pPr>
        <w:numPr>
          <w:ilvl w:val="1"/>
          <w:numId w:val="1"/>
        </w:numPr>
        <w:tabs>
          <w:tab w:val="left" w:pos="1170"/>
          <w:tab w:val="left" w:pos="1620"/>
        </w:tabs>
        <w:spacing w:after="80"/>
        <w:ind w:right="544"/>
        <w:rPr>
          <w:rFonts w:ascii="Arial" w:hAnsi="Arial" w:cs="Arial"/>
          <w:b/>
          <w:sz w:val="20"/>
          <w:szCs w:val="20"/>
        </w:rPr>
      </w:pPr>
      <w:r>
        <w:rPr>
          <w:rFonts w:ascii="Arial" w:hAnsi="Arial" w:cs="Arial"/>
          <w:b/>
          <w:sz w:val="20"/>
          <w:szCs w:val="20"/>
        </w:rPr>
        <w:t>EAW Policy and Forms</w:t>
      </w:r>
    </w:p>
    <w:p w14:paraId="7E680A22" w14:textId="54E84986" w:rsidR="00A04855" w:rsidRPr="00A04855" w:rsidRDefault="00A04855" w:rsidP="00A04855">
      <w:pPr>
        <w:tabs>
          <w:tab w:val="left" w:pos="1170"/>
          <w:tab w:val="left" w:pos="1620"/>
        </w:tabs>
        <w:spacing w:after="80"/>
        <w:ind w:left="720" w:right="544"/>
        <w:rPr>
          <w:rFonts w:ascii="Arial" w:hAnsi="Arial" w:cs="Arial"/>
          <w:b/>
          <w:i/>
          <w:sz w:val="20"/>
          <w:szCs w:val="20"/>
        </w:rPr>
      </w:pPr>
      <w:r>
        <w:rPr>
          <w:rFonts w:ascii="Arial" w:hAnsi="Arial" w:cs="Arial"/>
          <w:i/>
          <w:sz w:val="20"/>
          <w:szCs w:val="20"/>
        </w:rPr>
        <w:t xml:space="preserve">Commissioner Bezat moved to adopt the policy and process. Commissioner Kimker seconded the motion. </w:t>
      </w:r>
      <w:r>
        <w:rPr>
          <w:rFonts w:ascii="Arial" w:hAnsi="Arial" w:cs="Arial"/>
          <w:b/>
          <w:i/>
          <w:sz w:val="20"/>
          <w:szCs w:val="20"/>
        </w:rPr>
        <w:t>Motion passed 10-0</w:t>
      </w:r>
    </w:p>
    <w:p w14:paraId="4B302F8B" w14:textId="6E598294" w:rsidR="00711052" w:rsidRPr="00A04855" w:rsidRDefault="00711052" w:rsidP="002D137C">
      <w:pPr>
        <w:numPr>
          <w:ilvl w:val="0"/>
          <w:numId w:val="1"/>
        </w:numPr>
        <w:tabs>
          <w:tab w:val="left" w:pos="1080"/>
          <w:tab w:val="left" w:pos="1170"/>
          <w:tab w:val="left" w:pos="1620"/>
        </w:tabs>
        <w:spacing w:after="120"/>
        <w:ind w:right="544"/>
        <w:rPr>
          <w:rFonts w:ascii="Arial" w:hAnsi="Arial" w:cs="Arial"/>
          <w:b/>
          <w:sz w:val="20"/>
          <w:szCs w:val="20"/>
        </w:rPr>
      </w:pPr>
      <w:r>
        <w:rPr>
          <w:rFonts w:ascii="Arial" w:hAnsi="Arial" w:cs="Arial"/>
          <w:b/>
          <w:sz w:val="20"/>
          <w:szCs w:val="20"/>
        </w:rPr>
        <w:lastRenderedPageBreak/>
        <w:t>Committees</w:t>
      </w:r>
      <w:r w:rsidR="00074442">
        <w:rPr>
          <w:rFonts w:ascii="Arial" w:hAnsi="Arial" w:cs="Arial"/>
          <w:b/>
          <w:sz w:val="20"/>
          <w:szCs w:val="20"/>
        </w:rPr>
        <w:t xml:space="preserve"> </w:t>
      </w:r>
    </w:p>
    <w:p w14:paraId="7AF34CFE" w14:textId="79DF8BC9" w:rsidR="00A04855" w:rsidRPr="00A04855" w:rsidRDefault="00A04855" w:rsidP="00A04855">
      <w:pPr>
        <w:tabs>
          <w:tab w:val="left" w:pos="1080"/>
          <w:tab w:val="left" w:pos="1170"/>
          <w:tab w:val="left" w:pos="1620"/>
        </w:tabs>
        <w:spacing w:after="120"/>
        <w:ind w:left="720" w:right="544"/>
        <w:rPr>
          <w:rFonts w:ascii="Arial" w:hAnsi="Arial" w:cs="Arial"/>
          <w:sz w:val="20"/>
          <w:szCs w:val="20"/>
        </w:rPr>
      </w:pPr>
      <w:r>
        <w:rPr>
          <w:rFonts w:ascii="Arial" w:hAnsi="Arial" w:cs="Arial"/>
          <w:i/>
          <w:sz w:val="20"/>
          <w:szCs w:val="20"/>
        </w:rPr>
        <w:t>Staff stated that the Education Committee will be convened soon to work on long term planning for new education opportunities and that the heritage preservation awards will not be held this year.</w:t>
      </w:r>
    </w:p>
    <w:p w14:paraId="129CC53C" w14:textId="762B175D" w:rsidR="00711052" w:rsidRDefault="00711052" w:rsidP="002D137C">
      <w:pPr>
        <w:numPr>
          <w:ilvl w:val="0"/>
          <w:numId w:val="1"/>
        </w:numPr>
        <w:tabs>
          <w:tab w:val="left" w:pos="1080"/>
          <w:tab w:val="left" w:pos="1170"/>
          <w:tab w:val="left" w:pos="1620"/>
        </w:tabs>
        <w:spacing w:after="120"/>
        <w:ind w:right="544"/>
        <w:rPr>
          <w:rFonts w:ascii="Arial" w:hAnsi="Arial" w:cs="Arial"/>
          <w:b/>
          <w:sz w:val="20"/>
          <w:szCs w:val="20"/>
        </w:rPr>
      </w:pPr>
      <w:r>
        <w:rPr>
          <w:rFonts w:ascii="Arial" w:hAnsi="Arial" w:cs="Arial"/>
          <w:b/>
          <w:sz w:val="20"/>
          <w:szCs w:val="20"/>
        </w:rPr>
        <w:t>Chair Announcements</w:t>
      </w:r>
      <w:r w:rsidR="00074442">
        <w:rPr>
          <w:rFonts w:ascii="Arial" w:hAnsi="Arial" w:cs="Arial"/>
          <w:b/>
          <w:sz w:val="20"/>
          <w:szCs w:val="20"/>
        </w:rPr>
        <w:t xml:space="preserve"> </w:t>
      </w:r>
      <w:r w:rsidR="00074442">
        <w:rPr>
          <w:rFonts w:ascii="Arial" w:hAnsi="Arial" w:cs="Arial"/>
          <w:sz w:val="20"/>
          <w:szCs w:val="20"/>
        </w:rPr>
        <w:t>None</w:t>
      </w:r>
    </w:p>
    <w:p w14:paraId="23474B31" w14:textId="3DDE4129" w:rsidR="00711052" w:rsidRPr="00904EA6" w:rsidRDefault="00711052" w:rsidP="002D137C">
      <w:pPr>
        <w:numPr>
          <w:ilvl w:val="0"/>
          <w:numId w:val="1"/>
        </w:numPr>
        <w:tabs>
          <w:tab w:val="left" w:pos="1080"/>
          <w:tab w:val="left" w:pos="1170"/>
          <w:tab w:val="left" w:pos="1620"/>
        </w:tabs>
        <w:spacing w:after="120"/>
        <w:ind w:right="544"/>
        <w:rPr>
          <w:rFonts w:ascii="Arial" w:hAnsi="Arial" w:cs="Arial"/>
          <w:sz w:val="20"/>
          <w:szCs w:val="20"/>
        </w:rPr>
      </w:pPr>
      <w:r>
        <w:rPr>
          <w:rFonts w:ascii="Arial" w:hAnsi="Arial" w:cs="Arial"/>
          <w:b/>
          <w:sz w:val="20"/>
          <w:szCs w:val="20"/>
        </w:rPr>
        <w:t>Staff Announcements</w:t>
      </w:r>
      <w:r w:rsidR="00CF08F8">
        <w:rPr>
          <w:rFonts w:ascii="Arial" w:hAnsi="Arial" w:cs="Arial"/>
          <w:b/>
          <w:sz w:val="20"/>
          <w:szCs w:val="20"/>
        </w:rPr>
        <w:t xml:space="preserve"> </w:t>
      </w:r>
      <w:r w:rsidR="00CF08F8" w:rsidRPr="00CF08F8">
        <w:rPr>
          <w:rFonts w:ascii="Arial" w:hAnsi="Arial" w:cs="Arial"/>
          <w:sz w:val="20"/>
          <w:szCs w:val="20"/>
        </w:rPr>
        <w:t>None</w:t>
      </w:r>
    </w:p>
    <w:p w14:paraId="011C59B7" w14:textId="0BA6A386" w:rsidR="00711052" w:rsidRPr="00032990" w:rsidRDefault="00904EA6" w:rsidP="002D137C">
      <w:pPr>
        <w:numPr>
          <w:ilvl w:val="0"/>
          <w:numId w:val="1"/>
        </w:numPr>
        <w:tabs>
          <w:tab w:val="left" w:pos="1080"/>
          <w:tab w:val="left" w:pos="1170"/>
          <w:tab w:val="left" w:pos="1620"/>
        </w:tabs>
        <w:spacing w:after="120"/>
        <w:ind w:right="544"/>
        <w:rPr>
          <w:rFonts w:ascii="Arial" w:hAnsi="Arial" w:cs="Arial"/>
          <w:sz w:val="20"/>
          <w:szCs w:val="22"/>
        </w:rPr>
      </w:pPr>
      <w:r>
        <w:rPr>
          <w:rFonts w:ascii="Arial" w:hAnsi="Arial" w:cs="Arial"/>
          <w:b/>
          <w:sz w:val="20"/>
          <w:szCs w:val="22"/>
        </w:rPr>
        <w:t xml:space="preserve">Adjourn </w:t>
      </w:r>
      <w:r w:rsidR="00A04855" w:rsidRPr="00A04855">
        <w:rPr>
          <w:rFonts w:ascii="Arial" w:hAnsi="Arial" w:cs="Arial"/>
          <w:sz w:val="20"/>
          <w:szCs w:val="22"/>
        </w:rPr>
        <w:t>6</w:t>
      </w:r>
      <w:r w:rsidRPr="00CF08F8">
        <w:rPr>
          <w:rFonts w:ascii="Arial" w:hAnsi="Arial" w:cs="Arial"/>
          <w:sz w:val="20"/>
          <w:szCs w:val="22"/>
        </w:rPr>
        <w:t>:</w:t>
      </w:r>
      <w:r w:rsidR="00A04855">
        <w:rPr>
          <w:rFonts w:ascii="Arial" w:hAnsi="Arial" w:cs="Arial"/>
          <w:sz w:val="20"/>
          <w:szCs w:val="22"/>
        </w:rPr>
        <w:t>34</w:t>
      </w:r>
      <w:r w:rsidRPr="00CF08F8">
        <w:rPr>
          <w:rFonts w:ascii="Arial" w:hAnsi="Arial" w:cs="Arial"/>
          <w:sz w:val="20"/>
          <w:szCs w:val="22"/>
        </w:rPr>
        <w:t>pm</w:t>
      </w:r>
    </w:p>
    <w:p w14:paraId="37AA7CD3" w14:textId="32AECA9A" w:rsidR="006913CC" w:rsidRPr="006913CC" w:rsidRDefault="006913CC" w:rsidP="002D137C">
      <w:pPr>
        <w:tabs>
          <w:tab w:val="left" w:pos="1080"/>
          <w:tab w:val="left" w:pos="1620"/>
        </w:tabs>
        <w:spacing w:after="120"/>
        <w:ind w:right="544"/>
        <w:rPr>
          <w:rFonts w:ascii="Arial" w:hAnsi="Arial" w:cs="Arial"/>
          <w:b/>
          <w:sz w:val="20"/>
          <w:szCs w:val="20"/>
        </w:rPr>
      </w:pPr>
    </w:p>
    <w:sectPr w:rsidR="006913CC" w:rsidRPr="006913CC" w:rsidSect="006838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B9400" w14:textId="77777777" w:rsidR="001B28F2" w:rsidRDefault="001B28F2" w:rsidP="001B28F2">
      <w:r>
        <w:separator/>
      </w:r>
    </w:p>
  </w:endnote>
  <w:endnote w:type="continuationSeparator" w:id="0">
    <w:p w14:paraId="0C3DDAA5" w14:textId="77777777" w:rsidR="001B28F2" w:rsidRDefault="001B28F2" w:rsidP="001B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9C261" w14:textId="77777777" w:rsidR="001B28F2" w:rsidRDefault="001B2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0F3DC" w14:textId="77777777" w:rsidR="001B28F2" w:rsidRDefault="001B28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4836C" w14:textId="77777777" w:rsidR="001B28F2" w:rsidRDefault="001B2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79203" w14:textId="77777777" w:rsidR="001B28F2" w:rsidRDefault="001B28F2" w:rsidP="001B28F2">
      <w:r>
        <w:separator/>
      </w:r>
    </w:p>
  </w:footnote>
  <w:footnote w:type="continuationSeparator" w:id="0">
    <w:p w14:paraId="06A263E0" w14:textId="77777777" w:rsidR="001B28F2" w:rsidRDefault="001B28F2" w:rsidP="001B2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5F8D0" w14:textId="77777777" w:rsidR="001B28F2" w:rsidRDefault="001B2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EA5A" w14:textId="0090AAE1" w:rsidR="001B28F2" w:rsidRDefault="001B28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CFED3" w14:textId="77777777" w:rsidR="001B28F2" w:rsidRDefault="001B2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F2611"/>
    <w:multiLevelType w:val="hybridMultilevel"/>
    <w:tmpl w:val="8E5E1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830948"/>
    <w:multiLevelType w:val="hybridMultilevel"/>
    <w:tmpl w:val="57C240F8"/>
    <w:lvl w:ilvl="0" w:tplc="E938A94C">
      <w:start w:val="1"/>
      <w:numFmt w:val="upperRoman"/>
      <w:lvlText w:val="%1."/>
      <w:lvlJc w:val="right"/>
      <w:pPr>
        <w:tabs>
          <w:tab w:val="num" w:pos="720"/>
        </w:tabs>
        <w:ind w:left="720" w:hanging="180"/>
      </w:pPr>
      <w:rPr>
        <w:b/>
        <w:strike w:val="0"/>
        <w:sz w:val="21"/>
        <w:szCs w:val="21"/>
      </w:rPr>
    </w:lvl>
    <w:lvl w:ilvl="1" w:tplc="064A8186">
      <w:start w:val="1"/>
      <w:numFmt w:val="upperLetter"/>
      <w:lvlText w:val="%2."/>
      <w:lvlJc w:val="left"/>
      <w:pPr>
        <w:tabs>
          <w:tab w:val="num" w:pos="1080"/>
        </w:tabs>
        <w:ind w:left="720" w:firstLine="0"/>
      </w:pPr>
      <w:rPr>
        <w:rFonts w:hint="default"/>
        <w:b/>
        <w:strike w:val="0"/>
        <w:sz w:val="21"/>
        <w:szCs w:val="21"/>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7B9"/>
    <w:rsid w:val="0002024F"/>
    <w:rsid w:val="00032990"/>
    <w:rsid w:val="00074442"/>
    <w:rsid w:val="000A0614"/>
    <w:rsid w:val="00131DEF"/>
    <w:rsid w:val="00164A87"/>
    <w:rsid w:val="00184BAF"/>
    <w:rsid w:val="001A50B7"/>
    <w:rsid w:val="001B28F2"/>
    <w:rsid w:val="001C3D27"/>
    <w:rsid w:val="002A791F"/>
    <w:rsid w:val="002D137C"/>
    <w:rsid w:val="003A2BC7"/>
    <w:rsid w:val="00415F54"/>
    <w:rsid w:val="00433741"/>
    <w:rsid w:val="00455E75"/>
    <w:rsid w:val="004F504D"/>
    <w:rsid w:val="005A5F7F"/>
    <w:rsid w:val="005F1819"/>
    <w:rsid w:val="00614E8B"/>
    <w:rsid w:val="006717B9"/>
    <w:rsid w:val="00672FF9"/>
    <w:rsid w:val="00682415"/>
    <w:rsid w:val="006838A4"/>
    <w:rsid w:val="006913CC"/>
    <w:rsid w:val="006F01E4"/>
    <w:rsid w:val="00711052"/>
    <w:rsid w:val="007A780E"/>
    <w:rsid w:val="00845968"/>
    <w:rsid w:val="00855E1A"/>
    <w:rsid w:val="00904EA6"/>
    <w:rsid w:val="009458D6"/>
    <w:rsid w:val="009C062D"/>
    <w:rsid w:val="009D6EB5"/>
    <w:rsid w:val="00A02E47"/>
    <w:rsid w:val="00A04855"/>
    <w:rsid w:val="00A11291"/>
    <w:rsid w:val="00A13675"/>
    <w:rsid w:val="00A64E51"/>
    <w:rsid w:val="00A8745F"/>
    <w:rsid w:val="00B10F39"/>
    <w:rsid w:val="00B679E9"/>
    <w:rsid w:val="00BD3BB5"/>
    <w:rsid w:val="00BF6AA0"/>
    <w:rsid w:val="00C63B4A"/>
    <w:rsid w:val="00C85B35"/>
    <w:rsid w:val="00CA5536"/>
    <w:rsid w:val="00CC625D"/>
    <w:rsid w:val="00CF08F8"/>
    <w:rsid w:val="00D3616D"/>
    <w:rsid w:val="00D619FE"/>
    <w:rsid w:val="00DB43C8"/>
    <w:rsid w:val="00E317D8"/>
    <w:rsid w:val="00E74F87"/>
    <w:rsid w:val="00E92E3D"/>
    <w:rsid w:val="00EC43D5"/>
    <w:rsid w:val="00EF799B"/>
    <w:rsid w:val="00F6332B"/>
    <w:rsid w:val="00F721F6"/>
    <w:rsid w:val="00F94AC7"/>
    <w:rsid w:val="00FB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413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B9"/>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4A"/>
    <w:pPr>
      <w:ind w:left="720"/>
      <w:contextualSpacing/>
    </w:pPr>
  </w:style>
  <w:style w:type="character" w:styleId="CommentReference">
    <w:name w:val="annotation reference"/>
    <w:basedOn w:val="DefaultParagraphFont"/>
    <w:uiPriority w:val="99"/>
    <w:semiHidden/>
    <w:unhideWhenUsed/>
    <w:rsid w:val="00CA5536"/>
    <w:rPr>
      <w:sz w:val="16"/>
      <w:szCs w:val="16"/>
    </w:rPr>
  </w:style>
  <w:style w:type="paragraph" w:styleId="CommentText">
    <w:name w:val="annotation text"/>
    <w:basedOn w:val="Normal"/>
    <w:link w:val="CommentTextChar"/>
    <w:uiPriority w:val="99"/>
    <w:semiHidden/>
    <w:unhideWhenUsed/>
    <w:rsid w:val="00CA5536"/>
    <w:rPr>
      <w:sz w:val="20"/>
      <w:szCs w:val="20"/>
    </w:rPr>
  </w:style>
  <w:style w:type="character" w:customStyle="1" w:styleId="CommentTextChar">
    <w:name w:val="Comment Text Char"/>
    <w:basedOn w:val="DefaultParagraphFont"/>
    <w:link w:val="CommentText"/>
    <w:uiPriority w:val="99"/>
    <w:semiHidden/>
    <w:rsid w:val="00CA5536"/>
    <w:rPr>
      <w:rFonts w:ascii="Shruti" w:eastAsia="Times New Roman" w:hAnsi="Shruti" w:cs="Times New Roman"/>
      <w:sz w:val="20"/>
      <w:szCs w:val="20"/>
    </w:rPr>
  </w:style>
  <w:style w:type="paragraph" w:styleId="CommentSubject">
    <w:name w:val="annotation subject"/>
    <w:basedOn w:val="CommentText"/>
    <w:next w:val="CommentText"/>
    <w:link w:val="CommentSubjectChar"/>
    <w:uiPriority w:val="99"/>
    <w:semiHidden/>
    <w:unhideWhenUsed/>
    <w:rsid w:val="00CA5536"/>
    <w:rPr>
      <w:b/>
      <w:bCs/>
    </w:rPr>
  </w:style>
  <w:style w:type="character" w:customStyle="1" w:styleId="CommentSubjectChar">
    <w:name w:val="Comment Subject Char"/>
    <w:basedOn w:val="CommentTextChar"/>
    <w:link w:val="CommentSubject"/>
    <w:uiPriority w:val="99"/>
    <w:semiHidden/>
    <w:rsid w:val="00CA5536"/>
    <w:rPr>
      <w:rFonts w:ascii="Shruti" w:eastAsia="Times New Roman" w:hAnsi="Shruti" w:cs="Times New Roman"/>
      <w:b/>
      <w:bCs/>
      <w:sz w:val="20"/>
      <w:szCs w:val="20"/>
    </w:rPr>
  </w:style>
  <w:style w:type="paragraph" w:styleId="BalloonText">
    <w:name w:val="Balloon Text"/>
    <w:basedOn w:val="Normal"/>
    <w:link w:val="BalloonTextChar"/>
    <w:uiPriority w:val="99"/>
    <w:semiHidden/>
    <w:unhideWhenUsed/>
    <w:rsid w:val="00CA5536"/>
    <w:rPr>
      <w:rFonts w:ascii="Tahoma" w:hAnsi="Tahoma" w:cs="Tahoma"/>
      <w:sz w:val="16"/>
      <w:szCs w:val="16"/>
    </w:rPr>
  </w:style>
  <w:style w:type="character" w:customStyle="1" w:styleId="BalloonTextChar">
    <w:name w:val="Balloon Text Char"/>
    <w:basedOn w:val="DefaultParagraphFont"/>
    <w:link w:val="BalloonText"/>
    <w:uiPriority w:val="99"/>
    <w:semiHidden/>
    <w:rsid w:val="00CA5536"/>
    <w:rPr>
      <w:rFonts w:ascii="Tahoma" w:eastAsia="Times New Roman" w:hAnsi="Tahoma" w:cs="Tahoma"/>
      <w:sz w:val="16"/>
      <w:szCs w:val="16"/>
    </w:rPr>
  </w:style>
  <w:style w:type="paragraph" w:styleId="NormalWeb">
    <w:name w:val="Normal (Web)"/>
    <w:basedOn w:val="Normal"/>
    <w:uiPriority w:val="99"/>
    <w:unhideWhenUsed/>
    <w:rsid w:val="00EF799B"/>
    <w:pPr>
      <w:widowControl/>
      <w:autoSpaceDE/>
      <w:autoSpaceDN/>
      <w:adjustRightInd/>
      <w:spacing w:before="100" w:beforeAutospacing="1" w:after="100" w:afterAutospacing="1"/>
    </w:pPr>
    <w:rPr>
      <w:rFonts w:ascii="Times New Roman" w:eastAsiaTheme="minorHAnsi" w:hAnsi="Times New Roman"/>
    </w:rPr>
  </w:style>
  <w:style w:type="paragraph" w:styleId="Header">
    <w:name w:val="header"/>
    <w:basedOn w:val="Normal"/>
    <w:link w:val="HeaderChar"/>
    <w:uiPriority w:val="99"/>
    <w:unhideWhenUsed/>
    <w:rsid w:val="001B28F2"/>
    <w:pPr>
      <w:tabs>
        <w:tab w:val="center" w:pos="4680"/>
        <w:tab w:val="right" w:pos="9360"/>
      </w:tabs>
    </w:pPr>
  </w:style>
  <w:style w:type="character" w:customStyle="1" w:styleId="HeaderChar">
    <w:name w:val="Header Char"/>
    <w:basedOn w:val="DefaultParagraphFont"/>
    <w:link w:val="Header"/>
    <w:uiPriority w:val="99"/>
    <w:rsid w:val="001B28F2"/>
    <w:rPr>
      <w:rFonts w:ascii="Shruti" w:eastAsia="Times New Roman" w:hAnsi="Shruti" w:cs="Times New Roman"/>
      <w:sz w:val="24"/>
      <w:szCs w:val="24"/>
    </w:rPr>
  </w:style>
  <w:style w:type="paragraph" w:styleId="Footer">
    <w:name w:val="footer"/>
    <w:basedOn w:val="Normal"/>
    <w:link w:val="FooterChar"/>
    <w:uiPriority w:val="99"/>
    <w:unhideWhenUsed/>
    <w:rsid w:val="001B28F2"/>
    <w:pPr>
      <w:tabs>
        <w:tab w:val="center" w:pos="4680"/>
        <w:tab w:val="right" w:pos="9360"/>
      </w:tabs>
    </w:pPr>
  </w:style>
  <w:style w:type="character" w:customStyle="1" w:styleId="FooterChar">
    <w:name w:val="Footer Char"/>
    <w:basedOn w:val="DefaultParagraphFont"/>
    <w:link w:val="Footer"/>
    <w:uiPriority w:val="99"/>
    <w:rsid w:val="001B28F2"/>
    <w:rPr>
      <w:rFonts w:ascii="Shruti" w:eastAsia="Times New Roman" w:hAnsi="Shrut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B9"/>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4A"/>
    <w:pPr>
      <w:ind w:left="720"/>
      <w:contextualSpacing/>
    </w:pPr>
  </w:style>
  <w:style w:type="character" w:styleId="CommentReference">
    <w:name w:val="annotation reference"/>
    <w:basedOn w:val="DefaultParagraphFont"/>
    <w:uiPriority w:val="99"/>
    <w:semiHidden/>
    <w:unhideWhenUsed/>
    <w:rsid w:val="00CA5536"/>
    <w:rPr>
      <w:sz w:val="16"/>
      <w:szCs w:val="16"/>
    </w:rPr>
  </w:style>
  <w:style w:type="paragraph" w:styleId="CommentText">
    <w:name w:val="annotation text"/>
    <w:basedOn w:val="Normal"/>
    <w:link w:val="CommentTextChar"/>
    <w:uiPriority w:val="99"/>
    <w:semiHidden/>
    <w:unhideWhenUsed/>
    <w:rsid w:val="00CA5536"/>
    <w:rPr>
      <w:sz w:val="20"/>
      <w:szCs w:val="20"/>
    </w:rPr>
  </w:style>
  <w:style w:type="character" w:customStyle="1" w:styleId="CommentTextChar">
    <w:name w:val="Comment Text Char"/>
    <w:basedOn w:val="DefaultParagraphFont"/>
    <w:link w:val="CommentText"/>
    <w:uiPriority w:val="99"/>
    <w:semiHidden/>
    <w:rsid w:val="00CA5536"/>
    <w:rPr>
      <w:rFonts w:ascii="Shruti" w:eastAsia="Times New Roman" w:hAnsi="Shruti" w:cs="Times New Roman"/>
      <w:sz w:val="20"/>
      <w:szCs w:val="20"/>
    </w:rPr>
  </w:style>
  <w:style w:type="paragraph" w:styleId="CommentSubject">
    <w:name w:val="annotation subject"/>
    <w:basedOn w:val="CommentText"/>
    <w:next w:val="CommentText"/>
    <w:link w:val="CommentSubjectChar"/>
    <w:uiPriority w:val="99"/>
    <w:semiHidden/>
    <w:unhideWhenUsed/>
    <w:rsid w:val="00CA5536"/>
    <w:rPr>
      <w:b/>
      <w:bCs/>
    </w:rPr>
  </w:style>
  <w:style w:type="character" w:customStyle="1" w:styleId="CommentSubjectChar">
    <w:name w:val="Comment Subject Char"/>
    <w:basedOn w:val="CommentTextChar"/>
    <w:link w:val="CommentSubject"/>
    <w:uiPriority w:val="99"/>
    <w:semiHidden/>
    <w:rsid w:val="00CA5536"/>
    <w:rPr>
      <w:rFonts w:ascii="Shruti" w:eastAsia="Times New Roman" w:hAnsi="Shruti" w:cs="Times New Roman"/>
      <w:b/>
      <w:bCs/>
      <w:sz w:val="20"/>
      <w:szCs w:val="20"/>
    </w:rPr>
  </w:style>
  <w:style w:type="paragraph" w:styleId="BalloonText">
    <w:name w:val="Balloon Text"/>
    <w:basedOn w:val="Normal"/>
    <w:link w:val="BalloonTextChar"/>
    <w:uiPriority w:val="99"/>
    <w:semiHidden/>
    <w:unhideWhenUsed/>
    <w:rsid w:val="00CA5536"/>
    <w:rPr>
      <w:rFonts w:ascii="Tahoma" w:hAnsi="Tahoma" w:cs="Tahoma"/>
      <w:sz w:val="16"/>
      <w:szCs w:val="16"/>
    </w:rPr>
  </w:style>
  <w:style w:type="character" w:customStyle="1" w:styleId="BalloonTextChar">
    <w:name w:val="Balloon Text Char"/>
    <w:basedOn w:val="DefaultParagraphFont"/>
    <w:link w:val="BalloonText"/>
    <w:uiPriority w:val="99"/>
    <w:semiHidden/>
    <w:rsid w:val="00CA5536"/>
    <w:rPr>
      <w:rFonts w:ascii="Tahoma" w:eastAsia="Times New Roman" w:hAnsi="Tahoma" w:cs="Tahoma"/>
      <w:sz w:val="16"/>
      <w:szCs w:val="16"/>
    </w:rPr>
  </w:style>
  <w:style w:type="paragraph" w:styleId="NormalWeb">
    <w:name w:val="Normal (Web)"/>
    <w:basedOn w:val="Normal"/>
    <w:uiPriority w:val="99"/>
    <w:unhideWhenUsed/>
    <w:rsid w:val="00EF799B"/>
    <w:pPr>
      <w:widowControl/>
      <w:autoSpaceDE/>
      <w:autoSpaceDN/>
      <w:adjustRightInd/>
      <w:spacing w:before="100" w:beforeAutospacing="1" w:after="100" w:afterAutospacing="1"/>
    </w:pPr>
    <w:rPr>
      <w:rFonts w:ascii="Times New Roman" w:eastAsiaTheme="minorHAnsi" w:hAnsi="Times New Roman"/>
    </w:rPr>
  </w:style>
  <w:style w:type="paragraph" w:styleId="Header">
    <w:name w:val="header"/>
    <w:basedOn w:val="Normal"/>
    <w:link w:val="HeaderChar"/>
    <w:uiPriority w:val="99"/>
    <w:unhideWhenUsed/>
    <w:rsid w:val="001B28F2"/>
    <w:pPr>
      <w:tabs>
        <w:tab w:val="center" w:pos="4680"/>
        <w:tab w:val="right" w:pos="9360"/>
      </w:tabs>
    </w:pPr>
  </w:style>
  <w:style w:type="character" w:customStyle="1" w:styleId="HeaderChar">
    <w:name w:val="Header Char"/>
    <w:basedOn w:val="DefaultParagraphFont"/>
    <w:link w:val="Header"/>
    <w:uiPriority w:val="99"/>
    <w:rsid w:val="001B28F2"/>
    <w:rPr>
      <w:rFonts w:ascii="Shruti" w:eastAsia="Times New Roman" w:hAnsi="Shruti" w:cs="Times New Roman"/>
      <w:sz w:val="24"/>
      <w:szCs w:val="24"/>
    </w:rPr>
  </w:style>
  <w:style w:type="paragraph" w:styleId="Footer">
    <w:name w:val="footer"/>
    <w:basedOn w:val="Normal"/>
    <w:link w:val="FooterChar"/>
    <w:uiPriority w:val="99"/>
    <w:unhideWhenUsed/>
    <w:rsid w:val="001B28F2"/>
    <w:pPr>
      <w:tabs>
        <w:tab w:val="center" w:pos="4680"/>
        <w:tab w:val="right" w:pos="9360"/>
      </w:tabs>
    </w:pPr>
  </w:style>
  <w:style w:type="character" w:customStyle="1" w:styleId="FooterChar">
    <w:name w:val="Footer Char"/>
    <w:basedOn w:val="DefaultParagraphFont"/>
    <w:link w:val="Footer"/>
    <w:uiPriority w:val="99"/>
    <w:rsid w:val="001B28F2"/>
    <w:rPr>
      <w:rFonts w:ascii="Shruti" w:eastAsia="Times New Roman" w:hAnsi="Shrut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9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8B671-EC35-49D2-AFF2-0F8B5786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Saint Paul</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Gause, George (CI-StPaul)</dc:creator>
  <cp:lastModifiedBy>Gause, George (CI-StPaul)</cp:lastModifiedBy>
  <cp:revision>7</cp:revision>
  <dcterms:created xsi:type="dcterms:W3CDTF">2018-06-08T16:31:00Z</dcterms:created>
  <dcterms:modified xsi:type="dcterms:W3CDTF">2018-06-21T18:48:00Z</dcterms:modified>
</cp:coreProperties>
</file>