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3BC9A" w14:textId="77777777" w:rsidR="00043EEF" w:rsidRPr="003C7F8E" w:rsidRDefault="00043EEF">
      <w:pPr>
        <w:jc w:val="center"/>
        <w:rPr>
          <w:rFonts w:ascii="Arial (W1)" w:hAnsi="Arial (W1)"/>
          <w:b/>
          <w:color w:val="FF6600"/>
          <w:sz w:val="22"/>
        </w:rPr>
      </w:pPr>
    </w:p>
    <w:p w14:paraId="59A7623F" w14:textId="4C94EC9B" w:rsidR="00043EEF" w:rsidRDefault="006B615B">
      <w:pPr>
        <w:rPr>
          <w:rFonts w:ascii="Arial" w:hAnsi="Arial"/>
          <w:sz w:val="22"/>
        </w:rPr>
      </w:pPr>
      <w:r>
        <w:rPr>
          <w:noProof/>
        </w:rPr>
        <mc:AlternateContent>
          <mc:Choice Requires="wps">
            <w:drawing>
              <wp:anchor distT="0" distB="0" distL="114300" distR="114300" simplePos="0" relativeHeight="251658240" behindDoc="1" locked="1" layoutInCell="0" allowOverlap="1" wp14:anchorId="79D23427" wp14:editId="7E924603">
                <wp:simplePos x="0" y="0"/>
                <wp:positionH relativeFrom="page">
                  <wp:posOffset>5486400</wp:posOffset>
                </wp:positionH>
                <wp:positionV relativeFrom="page">
                  <wp:posOffset>914400</wp:posOffset>
                </wp:positionV>
                <wp:extent cx="1476375" cy="356870"/>
                <wp:effectExtent l="0" t="0" r="0" b="0"/>
                <wp:wrapNone/>
                <wp:docPr id="1" name="zzmpDocStamp_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6D0F9" w14:textId="77777777" w:rsidR="000D2FCD" w:rsidRDefault="000D2FCD" w:rsidP="009902FA">
                            <w:pPr>
                              <w:pStyle w:val="DraftStampText"/>
                              <w:tabs>
                                <w:tab w:val="center" w:pos="0"/>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D23427" id="_x0000_t202" coordsize="21600,21600" o:spt="202" path="m,l,21600r21600,l21600,xe">
                <v:stroke joinstyle="miter"/>
                <v:path gradientshapeok="t" o:connecttype="rect"/>
              </v:shapetype>
              <v:shape id="zzmpDocStamp_21" o:spid="_x0000_s1026" type="#_x0000_t202" style="position:absolute;margin-left:6in;margin-top:1in;width:116.25pt;height:28.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" o:allowincell="f" filled="f" stroked="f">
                <v:textbox inset="0,0,0,0">
                  <w:txbxContent>
                    <w:p w14:paraId="3586D0F9" w14:textId="77777777" w:rsidR="000D2FCD" w:rsidRDefault="000D2FCD" w:rsidP="009902FA">
                      <w:pPr>
                        <w:pStyle w:val="DraftStampText"/>
                        <w:tabs>
                          <w:tab w:val="center" w:pos="0"/>
                        </w:tabs>
                      </w:pPr>
                    </w:p>
                  </w:txbxContent>
                </v:textbox>
                <w10:wrap anchorx="page" anchory="page"/>
                <w10:anchorlock/>
              </v:shape>
            </w:pict>
          </mc:Fallback>
        </mc:AlternateContent>
      </w:r>
    </w:p>
    <w:p w14:paraId="0570DFEF" w14:textId="77777777" w:rsidR="00BD48B7" w:rsidRDefault="00BD48B7">
      <w:pPr>
        <w:jc w:val="center"/>
        <w:rPr>
          <w:rFonts w:ascii="Arial" w:hAnsi="Arial"/>
          <w:b/>
          <w:sz w:val="22"/>
        </w:rPr>
      </w:pPr>
    </w:p>
    <w:p w14:paraId="564B8D85" w14:textId="77777777" w:rsidR="00BD48B7" w:rsidRDefault="00BD48B7">
      <w:pPr>
        <w:jc w:val="center"/>
        <w:rPr>
          <w:rFonts w:ascii="Arial" w:hAnsi="Arial"/>
          <w:b/>
          <w:sz w:val="22"/>
        </w:rPr>
      </w:pPr>
    </w:p>
    <w:p w14:paraId="2B80FBE9" w14:textId="77777777" w:rsidR="00BD48B7" w:rsidRDefault="00BD48B7">
      <w:pPr>
        <w:jc w:val="center"/>
        <w:rPr>
          <w:rFonts w:ascii="Arial" w:hAnsi="Arial"/>
          <w:b/>
          <w:sz w:val="22"/>
        </w:rPr>
      </w:pPr>
    </w:p>
    <w:p w14:paraId="0E4CF642" w14:textId="77777777" w:rsidR="00BD48B7" w:rsidRDefault="00BD48B7">
      <w:pPr>
        <w:jc w:val="center"/>
        <w:rPr>
          <w:rFonts w:ascii="Arial" w:hAnsi="Arial"/>
          <w:b/>
          <w:sz w:val="22"/>
        </w:rPr>
      </w:pPr>
    </w:p>
    <w:p w14:paraId="399008EF" w14:textId="77777777" w:rsidR="00BD48B7" w:rsidRDefault="00BD48B7">
      <w:pPr>
        <w:jc w:val="center"/>
        <w:rPr>
          <w:rFonts w:ascii="Arial" w:hAnsi="Arial"/>
          <w:b/>
          <w:sz w:val="22"/>
        </w:rPr>
      </w:pPr>
    </w:p>
    <w:p w14:paraId="65B39330" w14:textId="77777777" w:rsidR="00BD48B7" w:rsidRDefault="00BD48B7">
      <w:pPr>
        <w:jc w:val="center"/>
        <w:rPr>
          <w:rFonts w:ascii="Arial" w:hAnsi="Arial"/>
          <w:b/>
          <w:sz w:val="22"/>
        </w:rPr>
      </w:pPr>
    </w:p>
    <w:p w14:paraId="35227486" w14:textId="77777777" w:rsidR="00BD48B7" w:rsidRDefault="00BD48B7">
      <w:pPr>
        <w:jc w:val="center"/>
        <w:rPr>
          <w:rFonts w:ascii="Arial" w:hAnsi="Arial"/>
          <w:b/>
          <w:sz w:val="22"/>
        </w:rPr>
      </w:pPr>
    </w:p>
    <w:p w14:paraId="05DD1B97" w14:textId="77777777" w:rsidR="00043EEF" w:rsidRDefault="00BD48B7">
      <w:pPr>
        <w:jc w:val="center"/>
        <w:rPr>
          <w:rFonts w:ascii="Arial" w:hAnsi="Arial"/>
          <w:b/>
          <w:sz w:val="28"/>
          <w:szCs w:val="28"/>
        </w:rPr>
      </w:pPr>
      <w:r w:rsidRPr="00BD48B7">
        <w:rPr>
          <w:rFonts w:ascii="Arial" w:hAnsi="Arial"/>
          <w:b/>
          <w:sz w:val="28"/>
          <w:szCs w:val="28"/>
        </w:rPr>
        <w:t xml:space="preserve"> </w:t>
      </w:r>
      <w:r w:rsidR="00043EEF" w:rsidRPr="00BD48B7">
        <w:rPr>
          <w:rFonts w:ascii="Arial" w:hAnsi="Arial"/>
          <w:b/>
          <w:sz w:val="28"/>
          <w:szCs w:val="28"/>
        </w:rPr>
        <w:t>MINNEAPOLIS/SAINT PAUL HOUSING FINANCE BOARD</w:t>
      </w:r>
    </w:p>
    <w:p w14:paraId="0E781A58" w14:textId="77777777" w:rsidR="00032606" w:rsidRDefault="00032606">
      <w:pPr>
        <w:jc w:val="center"/>
        <w:rPr>
          <w:rFonts w:ascii="Arial" w:hAnsi="Arial"/>
          <w:b/>
          <w:sz w:val="28"/>
          <w:szCs w:val="28"/>
        </w:rPr>
      </w:pPr>
    </w:p>
    <w:p w14:paraId="30975512" w14:textId="77777777" w:rsidR="00032606" w:rsidRDefault="00032606">
      <w:pPr>
        <w:jc w:val="center"/>
        <w:rPr>
          <w:rFonts w:ascii="Arial" w:hAnsi="Arial"/>
          <w:b/>
          <w:sz w:val="28"/>
          <w:szCs w:val="28"/>
        </w:rPr>
      </w:pPr>
    </w:p>
    <w:p w14:paraId="38A768BC" w14:textId="77777777" w:rsidR="00032606" w:rsidRPr="00BD48B7" w:rsidRDefault="00032606">
      <w:pPr>
        <w:jc w:val="center"/>
        <w:rPr>
          <w:rFonts w:ascii="Arial" w:hAnsi="Arial"/>
          <w:b/>
          <w:sz w:val="28"/>
          <w:szCs w:val="28"/>
        </w:rPr>
      </w:pPr>
    </w:p>
    <w:p w14:paraId="0969BBEF" w14:textId="77777777" w:rsidR="00BD48B7" w:rsidRPr="00BD48B7" w:rsidRDefault="00BD48B7">
      <w:pPr>
        <w:jc w:val="center"/>
        <w:rPr>
          <w:rFonts w:ascii="Arial" w:hAnsi="Arial"/>
          <w:b/>
          <w:sz w:val="28"/>
          <w:szCs w:val="28"/>
        </w:rPr>
      </w:pPr>
    </w:p>
    <w:p w14:paraId="385B65D0" w14:textId="77777777" w:rsidR="00043EEF" w:rsidRPr="00BD48B7" w:rsidRDefault="00043EEF">
      <w:pPr>
        <w:jc w:val="center"/>
        <w:rPr>
          <w:rFonts w:ascii="Arial" w:hAnsi="Arial"/>
          <w:b/>
          <w:sz w:val="28"/>
          <w:szCs w:val="28"/>
        </w:rPr>
      </w:pPr>
      <w:r w:rsidRPr="00BD48B7">
        <w:rPr>
          <w:rFonts w:ascii="Arial" w:hAnsi="Arial"/>
          <w:b/>
          <w:sz w:val="28"/>
          <w:szCs w:val="28"/>
        </w:rPr>
        <w:t>HOUSING TAX CREDIT</w:t>
      </w:r>
    </w:p>
    <w:p w14:paraId="255DB9ED" w14:textId="77777777" w:rsidR="00BD48B7" w:rsidRPr="00BD48B7" w:rsidRDefault="00BD48B7">
      <w:pPr>
        <w:jc w:val="center"/>
        <w:rPr>
          <w:rFonts w:ascii="Arial" w:hAnsi="Arial"/>
          <w:b/>
          <w:sz w:val="28"/>
          <w:szCs w:val="28"/>
        </w:rPr>
      </w:pPr>
    </w:p>
    <w:p w14:paraId="17B27904" w14:textId="4D91B482" w:rsidR="00BD48B7" w:rsidRPr="00BD48B7" w:rsidRDefault="00BD48B7" w:rsidP="2C14DF09">
      <w:pPr>
        <w:jc w:val="center"/>
        <w:rPr>
          <w:rFonts w:ascii="Arial" w:hAnsi="Arial"/>
          <w:b/>
          <w:bCs/>
          <w:sz w:val="28"/>
          <w:szCs w:val="28"/>
        </w:rPr>
      </w:pPr>
      <w:r w:rsidRPr="2C14DF09">
        <w:rPr>
          <w:rFonts w:ascii="Arial" w:hAnsi="Arial"/>
          <w:b/>
          <w:bCs/>
          <w:sz w:val="28"/>
          <w:szCs w:val="28"/>
        </w:rPr>
        <w:t>20</w:t>
      </w:r>
      <w:r w:rsidR="0096121A" w:rsidRPr="2C14DF09">
        <w:rPr>
          <w:rFonts w:ascii="Arial" w:hAnsi="Arial"/>
          <w:b/>
          <w:bCs/>
          <w:sz w:val="28"/>
          <w:szCs w:val="28"/>
        </w:rPr>
        <w:t>2</w:t>
      </w:r>
      <w:r w:rsidR="5696B00D" w:rsidRPr="2C14DF09">
        <w:rPr>
          <w:rFonts w:ascii="Arial" w:hAnsi="Arial"/>
          <w:b/>
          <w:bCs/>
          <w:sz w:val="28"/>
          <w:szCs w:val="28"/>
        </w:rPr>
        <w:t>6</w:t>
      </w:r>
      <w:r w:rsidR="00901DB0" w:rsidRPr="2C14DF09">
        <w:rPr>
          <w:rFonts w:ascii="Arial" w:hAnsi="Arial"/>
          <w:b/>
          <w:bCs/>
          <w:sz w:val="28"/>
          <w:szCs w:val="28"/>
        </w:rPr>
        <w:t>-202</w:t>
      </w:r>
      <w:r w:rsidR="5086AC65" w:rsidRPr="2C14DF09">
        <w:rPr>
          <w:rFonts w:ascii="Arial" w:hAnsi="Arial"/>
          <w:b/>
          <w:bCs/>
          <w:sz w:val="28"/>
          <w:szCs w:val="28"/>
        </w:rPr>
        <w:t>7</w:t>
      </w:r>
      <w:r w:rsidRPr="2C14DF09">
        <w:rPr>
          <w:rFonts w:ascii="Arial" w:hAnsi="Arial"/>
          <w:b/>
          <w:bCs/>
          <w:sz w:val="28"/>
          <w:szCs w:val="28"/>
        </w:rPr>
        <w:t xml:space="preserve"> </w:t>
      </w:r>
      <w:r w:rsidR="00043EEF" w:rsidRPr="2C14DF09">
        <w:rPr>
          <w:rFonts w:ascii="Arial" w:hAnsi="Arial"/>
          <w:b/>
          <w:bCs/>
          <w:sz w:val="28"/>
          <w:szCs w:val="28"/>
        </w:rPr>
        <w:t>QUALIFIED ALLOCATION PLAN</w:t>
      </w:r>
      <w:r w:rsidR="007A7D4C" w:rsidRPr="2C14DF09">
        <w:rPr>
          <w:rFonts w:ascii="Arial" w:hAnsi="Arial"/>
          <w:b/>
          <w:bCs/>
          <w:sz w:val="28"/>
          <w:szCs w:val="28"/>
        </w:rPr>
        <w:t xml:space="preserve"> </w:t>
      </w:r>
    </w:p>
    <w:p w14:paraId="34D93F9B" w14:textId="77777777" w:rsidR="00BD48B7" w:rsidRPr="00BD48B7" w:rsidRDefault="00BD48B7">
      <w:pPr>
        <w:jc w:val="center"/>
        <w:rPr>
          <w:rFonts w:ascii="Arial" w:hAnsi="Arial"/>
          <w:b/>
          <w:sz w:val="28"/>
          <w:szCs w:val="28"/>
        </w:rPr>
      </w:pPr>
    </w:p>
    <w:p w14:paraId="0D69FD25" w14:textId="029E44B8" w:rsidR="005934EF" w:rsidRDefault="009C75EF" w:rsidP="2C14DF09">
      <w:pPr>
        <w:jc w:val="center"/>
        <w:rPr>
          <w:rFonts w:ascii="Arial" w:hAnsi="Arial"/>
          <w:b/>
          <w:bCs/>
          <w:sz w:val="28"/>
          <w:szCs w:val="28"/>
        </w:rPr>
      </w:pPr>
      <w:r w:rsidRPr="2C14DF09">
        <w:rPr>
          <w:rFonts w:ascii="Arial" w:hAnsi="Arial"/>
          <w:b/>
          <w:bCs/>
          <w:sz w:val="28"/>
          <w:szCs w:val="28"/>
        </w:rPr>
        <w:t>Adopted</w:t>
      </w:r>
      <w:r w:rsidR="00D675FA" w:rsidRPr="2C14DF09">
        <w:rPr>
          <w:rFonts w:ascii="Arial" w:hAnsi="Arial"/>
          <w:b/>
          <w:bCs/>
          <w:sz w:val="28"/>
          <w:szCs w:val="28"/>
        </w:rPr>
        <w:t>:</w:t>
      </w:r>
      <w:r w:rsidR="00125738" w:rsidRPr="2C14DF09">
        <w:rPr>
          <w:rFonts w:ascii="Arial" w:hAnsi="Arial"/>
          <w:b/>
          <w:bCs/>
          <w:sz w:val="28"/>
          <w:szCs w:val="28"/>
        </w:rPr>
        <w:t xml:space="preserve"> </w:t>
      </w:r>
      <w:r w:rsidR="00126980">
        <w:rPr>
          <w:rFonts w:ascii="Arial" w:hAnsi="Arial"/>
          <w:b/>
          <w:bCs/>
          <w:sz w:val="28"/>
          <w:szCs w:val="28"/>
        </w:rPr>
        <w:t>12/30/2025</w:t>
      </w:r>
    </w:p>
    <w:p w14:paraId="36213422" w14:textId="77777777" w:rsidR="005934EF" w:rsidRDefault="005934EF" w:rsidP="005934EF">
      <w:pPr>
        <w:rPr>
          <w:rFonts w:ascii="Arial" w:hAnsi="Arial"/>
          <w:b/>
          <w:sz w:val="28"/>
          <w:szCs w:val="28"/>
        </w:rPr>
      </w:pPr>
    </w:p>
    <w:p w14:paraId="3ACB213F" w14:textId="77777777" w:rsidR="005934EF" w:rsidRDefault="005934EF">
      <w:pPr>
        <w:jc w:val="center"/>
        <w:rPr>
          <w:rFonts w:ascii="Arial" w:hAnsi="Arial"/>
          <w:b/>
          <w:sz w:val="24"/>
          <w:szCs w:val="24"/>
        </w:rPr>
      </w:pPr>
    </w:p>
    <w:p w14:paraId="3E37DC29" w14:textId="77777777" w:rsidR="000D2FCD" w:rsidRPr="000D2FCD" w:rsidRDefault="000D2FCD" w:rsidP="000D2FCD">
      <w:pPr>
        <w:rPr>
          <w:rFonts w:ascii="Arial" w:hAnsi="Arial"/>
          <w:sz w:val="24"/>
          <w:szCs w:val="24"/>
        </w:rPr>
      </w:pPr>
    </w:p>
    <w:p w14:paraId="7BC65A17" w14:textId="77777777" w:rsidR="000D2FCD" w:rsidRPr="000D2FCD" w:rsidRDefault="000D2FCD" w:rsidP="000D2FCD">
      <w:pPr>
        <w:rPr>
          <w:rFonts w:ascii="Arial" w:hAnsi="Arial"/>
          <w:sz w:val="24"/>
          <w:szCs w:val="24"/>
        </w:rPr>
      </w:pPr>
    </w:p>
    <w:p w14:paraId="246A762D" w14:textId="77777777" w:rsidR="000D2FCD" w:rsidRPr="000D2FCD" w:rsidRDefault="000D2FCD" w:rsidP="000D2FCD">
      <w:pPr>
        <w:rPr>
          <w:rFonts w:ascii="Arial" w:hAnsi="Arial"/>
          <w:sz w:val="24"/>
          <w:szCs w:val="24"/>
        </w:rPr>
      </w:pPr>
    </w:p>
    <w:p w14:paraId="13320FBA" w14:textId="77777777" w:rsidR="000D2FCD" w:rsidRDefault="000D2FCD" w:rsidP="000D2FCD">
      <w:pPr>
        <w:jc w:val="center"/>
        <w:rPr>
          <w:rFonts w:ascii="Arial" w:hAnsi="Arial"/>
          <w:b/>
          <w:sz w:val="24"/>
          <w:szCs w:val="24"/>
        </w:rPr>
      </w:pPr>
    </w:p>
    <w:p w14:paraId="5BBE93B3" w14:textId="693F1C13" w:rsidR="000D2FCD" w:rsidRPr="000D2FCD" w:rsidRDefault="000D2FCD" w:rsidP="000D2FCD">
      <w:pPr>
        <w:tabs>
          <w:tab w:val="center" w:pos="4680"/>
        </w:tabs>
        <w:rPr>
          <w:rFonts w:ascii="Arial" w:hAnsi="Arial"/>
          <w:sz w:val="24"/>
          <w:szCs w:val="24"/>
        </w:rPr>
        <w:sectPr w:rsidR="000D2FCD" w:rsidRPr="000D2FCD" w:rsidSect="005934EF">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170" w:left="1440" w:header="720" w:footer="720" w:gutter="0"/>
          <w:pgNumType w:start="1"/>
          <w:cols w:space="720"/>
        </w:sectPr>
      </w:pPr>
      <w:r>
        <w:rPr>
          <w:rFonts w:ascii="Arial" w:hAnsi="Arial"/>
          <w:sz w:val="24"/>
          <w:szCs w:val="24"/>
        </w:rPr>
        <w:tab/>
      </w:r>
    </w:p>
    <w:p w14:paraId="39351750" w14:textId="77777777" w:rsidR="003147C9" w:rsidRPr="00593030" w:rsidRDefault="003147C9" w:rsidP="003147C9">
      <w:pPr>
        <w:spacing w:line="480" w:lineRule="auto"/>
        <w:jc w:val="center"/>
        <w:rPr>
          <w:b/>
          <w:sz w:val="24"/>
          <w:szCs w:val="24"/>
        </w:rPr>
      </w:pPr>
      <w:r w:rsidRPr="00593030">
        <w:rPr>
          <w:b/>
          <w:sz w:val="24"/>
          <w:szCs w:val="24"/>
        </w:rPr>
        <w:lastRenderedPageBreak/>
        <w:t>Table of Contents</w:t>
      </w:r>
    </w:p>
    <w:p w14:paraId="44CC375F" w14:textId="77777777" w:rsidR="003147C9" w:rsidRPr="00775548" w:rsidRDefault="003147C9" w:rsidP="003147C9">
      <w:pPr>
        <w:pStyle w:val="TOC1"/>
        <w:rPr>
          <w:b/>
          <w:noProof/>
          <w:sz w:val="24"/>
          <w:szCs w:val="24"/>
        </w:rPr>
      </w:pPr>
      <w:r w:rsidRPr="000D2FCD">
        <w:rPr>
          <w:b/>
          <w:sz w:val="24"/>
          <w:szCs w:val="24"/>
        </w:rPr>
        <w:t>I</w:t>
      </w:r>
      <w:r w:rsidRPr="0086282C">
        <w:rPr>
          <w:b/>
        </w:rPr>
        <w:tab/>
      </w:r>
      <w:r w:rsidRPr="002A3ECC">
        <w:rPr>
          <w:b/>
          <w:sz w:val="24"/>
          <w:szCs w:val="24"/>
        </w:rPr>
        <w:fldChar w:fldCharType="begin"/>
      </w:r>
      <w:r w:rsidRPr="002A3ECC">
        <w:rPr>
          <w:b/>
          <w:sz w:val="24"/>
          <w:szCs w:val="24"/>
        </w:rPr>
        <w:instrText xml:space="preserve"> TOC \o "1-3" \h \z \u </w:instrText>
      </w:r>
      <w:r w:rsidRPr="002A3ECC">
        <w:rPr>
          <w:b/>
          <w:sz w:val="24"/>
          <w:szCs w:val="24"/>
        </w:rPr>
        <w:fldChar w:fldCharType="separate"/>
      </w:r>
      <w:hyperlink w:anchor="_Toc517944891" w:history="1">
        <w:r w:rsidRPr="00775548">
          <w:rPr>
            <w:rStyle w:val="Hyperlink"/>
            <w:b/>
            <w:noProof/>
            <w:color w:val="auto"/>
            <w:sz w:val="24"/>
            <w:szCs w:val="24"/>
          </w:rPr>
          <w:t>Purpose</w:t>
        </w:r>
        <w:r w:rsidRPr="00775548">
          <w:rPr>
            <w:b/>
            <w:noProof/>
            <w:webHidden/>
            <w:sz w:val="24"/>
            <w:szCs w:val="24"/>
          </w:rPr>
          <w:tab/>
        </w:r>
        <w:r w:rsidR="00281225" w:rsidRPr="00775548">
          <w:rPr>
            <w:b/>
            <w:noProof/>
            <w:webHidden/>
            <w:sz w:val="24"/>
            <w:szCs w:val="24"/>
          </w:rPr>
          <w:t>1</w:t>
        </w:r>
      </w:hyperlink>
      <w:r w:rsidR="00281225" w:rsidRPr="00775548">
        <w:rPr>
          <w:b/>
          <w:noProof/>
          <w:sz w:val="24"/>
          <w:szCs w:val="24"/>
        </w:rPr>
        <w:tab/>
      </w:r>
    </w:p>
    <w:p w14:paraId="69751326" w14:textId="77777777" w:rsidR="003147C9" w:rsidRPr="0011669E" w:rsidRDefault="003147C9" w:rsidP="003147C9">
      <w:pPr>
        <w:pStyle w:val="TOC1"/>
        <w:rPr>
          <w:b/>
          <w:noProof/>
          <w:sz w:val="24"/>
          <w:szCs w:val="24"/>
          <w:lang w:val="fr-FR"/>
        </w:rPr>
      </w:pPr>
      <w:r w:rsidRPr="0011669E">
        <w:rPr>
          <w:rStyle w:val="Hyperlink"/>
          <w:b/>
          <w:noProof/>
          <w:color w:val="auto"/>
          <w:sz w:val="24"/>
          <w:szCs w:val="24"/>
          <w:u w:val="none"/>
          <w:lang w:val="fr-FR"/>
        </w:rPr>
        <w:t>II</w:t>
      </w:r>
      <w:r w:rsidRPr="0011669E">
        <w:rPr>
          <w:rStyle w:val="Hyperlink"/>
          <w:b/>
          <w:noProof/>
          <w:color w:val="auto"/>
          <w:sz w:val="24"/>
          <w:szCs w:val="24"/>
          <w:u w:val="none"/>
          <w:lang w:val="fr-FR"/>
        </w:rPr>
        <w:tab/>
      </w:r>
      <w:hyperlink w:anchor="_Toc517944893" w:history="1">
        <w:r w:rsidRPr="0011669E">
          <w:rPr>
            <w:rStyle w:val="Hyperlink"/>
            <w:b/>
            <w:noProof/>
            <w:color w:val="auto"/>
            <w:sz w:val="24"/>
            <w:szCs w:val="24"/>
            <w:lang w:val="fr-FR"/>
          </w:rPr>
          <w:t>Authority</w:t>
        </w:r>
        <w:r w:rsidRPr="0011669E">
          <w:rPr>
            <w:b/>
            <w:noProof/>
            <w:webHidden/>
            <w:sz w:val="24"/>
            <w:szCs w:val="24"/>
            <w:lang w:val="fr-FR"/>
          </w:rPr>
          <w:tab/>
        </w:r>
        <w:r w:rsidR="00281225" w:rsidRPr="0011669E">
          <w:rPr>
            <w:b/>
            <w:noProof/>
            <w:webHidden/>
            <w:sz w:val="24"/>
            <w:szCs w:val="24"/>
            <w:lang w:val="fr-FR"/>
          </w:rPr>
          <w:t>1</w:t>
        </w:r>
      </w:hyperlink>
    </w:p>
    <w:p w14:paraId="4B6C7843" w14:textId="77777777" w:rsidR="003147C9" w:rsidRPr="0011669E" w:rsidRDefault="003147C9" w:rsidP="003147C9">
      <w:pPr>
        <w:pStyle w:val="TOC1"/>
        <w:rPr>
          <w:b/>
          <w:noProof/>
          <w:sz w:val="24"/>
          <w:szCs w:val="24"/>
          <w:lang w:val="fr-FR"/>
        </w:rPr>
      </w:pPr>
      <w:r w:rsidRPr="0011669E">
        <w:rPr>
          <w:b/>
          <w:noProof/>
          <w:sz w:val="24"/>
          <w:szCs w:val="24"/>
          <w:lang w:val="fr-FR"/>
        </w:rPr>
        <w:t>III</w:t>
      </w:r>
      <w:r w:rsidRPr="0011669E">
        <w:rPr>
          <w:b/>
          <w:noProof/>
          <w:sz w:val="24"/>
          <w:szCs w:val="24"/>
          <w:lang w:val="fr-FR"/>
        </w:rPr>
        <w:tab/>
      </w:r>
      <w:hyperlink w:anchor="_Toc517944895" w:history="1">
        <w:r w:rsidRPr="0011669E">
          <w:rPr>
            <w:rStyle w:val="Hyperlink"/>
            <w:b/>
            <w:noProof/>
            <w:color w:val="auto"/>
            <w:sz w:val="24"/>
            <w:szCs w:val="24"/>
            <w:lang w:val="fr-FR"/>
          </w:rPr>
          <w:t>Definitions</w:t>
        </w:r>
        <w:r w:rsidRPr="0011669E">
          <w:rPr>
            <w:b/>
            <w:noProof/>
            <w:webHidden/>
            <w:sz w:val="24"/>
            <w:szCs w:val="24"/>
            <w:lang w:val="fr-FR"/>
          </w:rPr>
          <w:tab/>
        </w:r>
        <w:r w:rsidR="00281225" w:rsidRPr="0011669E">
          <w:rPr>
            <w:b/>
            <w:noProof/>
            <w:webHidden/>
            <w:sz w:val="24"/>
            <w:szCs w:val="24"/>
            <w:lang w:val="fr-FR"/>
          </w:rPr>
          <w:t xml:space="preserve">2 </w:t>
        </w:r>
      </w:hyperlink>
    </w:p>
    <w:p w14:paraId="1B4E8BEB" w14:textId="363B9535" w:rsidR="003147C9" w:rsidRPr="0011669E" w:rsidRDefault="003147C9" w:rsidP="003147C9">
      <w:pPr>
        <w:pStyle w:val="TOC1"/>
        <w:rPr>
          <w:b/>
          <w:noProof/>
          <w:sz w:val="24"/>
          <w:szCs w:val="24"/>
          <w:lang w:val="fr-FR"/>
        </w:rPr>
      </w:pPr>
      <w:r w:rsidRPr="0011669E">
        <w:rPr>
          <w:rStyle w:val="Hyperlink"/>
          <w:b/>
          <w:noProof/>
          <w:color w:val="auto"/>
          <w:sz w:val="24"/>
          <w:szCs w:val="24"/>
          <w:u w:val="none"/>
          <w:lang w:val="fr-FR"/>
        </w:rPr>
        <w:t>IV</w:t>
      </w:r>
      <w:r w:rsidRPr="0011669E">
        <w:rPr>
          <w:rStyle w:val="Hyperlink"/>
          <w:b/>
          <w:noProof/>
          <w:color w:val="auto"/>
          <w:sz w:val="24"/>
          <w:szCs w:val="24"/>
          <w:u w:val="none"/>
          <w:lang w:val="fr-FR"/>
        </w:rPr>
        <w:tab/>
      </w:r>
      <w:hyperlink w:anchor="_Toc517944896" w:history="1">
        <w:r w:rsidRPr="0011669E">
          <w:rPr>
            <w:rStyle w:val="Hyperlink"/>
            <w:b/>
            <w:noProof/>
            <w:color w:val="auto"/>
            <w:sz w:val="24"/>
            <w:szCs w:val="24"/>
            <w:lang w:val="fr-FR"/>
          </w:rPr>
          <w:t>General Concepts</w:t>
        </w:r>
        <w:r w:rsidRPr="0011669E">
          <w:rPr>
            <w:b/>
            <w:noProof/>
            <w:webHidden/>
            <w:sz w:val="24"/>
            <w:szCs w:val="24"/>
            <w:lang w:val="fr-FR"/>
          </w:rPr>
          <w:tab/>
        </w:r>
      </w:hyperlink>
      <w:r w:rsidR="000D2FCD">
        <w:rPr>
          <w:b/>
          <w:noProof/>
          <w:sz w:val="24"/>
          <w:szCs w:val="24"/>
          <w:lang w:val="fr-FR"/>
        </w:rPr>
        <w:t>3</w:t>
      </w:r>
    </w:p>
    <w:p w14:paraId="2F5A673A" w14:textId="0C02DF06" w:rsidR="003147C9" w:rsidRPr="0011669E" w:rsidRDefault="003147C9" w:rsidP="003147C9">
      <w:pPr>
        <w:pStyle w:val="TOC1"/>
        <w:rPr>
          <w:b/>
          <w:noProof/>
          <w:sz w:val="24"/>
          <w:szCs w:val="24"/>
          <w:lang w:val="fr-FR"/>
        </w:rPr>
      </w:pPr>
      <w:r w:rsidRPr="0011669E">
        <w:rPr>
          <w:rStyle w:val="Hyperlink"/>
          <w:b/>
          <w:noProof/>
          <w:color w:val="auto"/>
          <w:sz w:val="24"/>
          <w:szCs w:val="24"/>
          <w:u w:val="none"/>
          <w:lang w:val="fr-FR"/>
        </w:rPr>
        <w:t>V</w:t>
      </w:r>
      <w:r w:rsidRPr="0011669E">
        <w:rPr>
          <w:rStyle w:val="Hyperlink"/>
          <w:b/>
          <w:noProof/>
          <w:color w:val="auto"/>
          <w:sz w:val="24"/>
          <w:szCs w:val="24"/>
          <w:u w:val="none"/>
          <w:lang w:val="fr-FR"/>
        </w:rPr>
        <w:tab/>
      </w:r>
      <w:hyperlink w:anchor="_Toc517944898" w:history="1">
        <w:r w:rsidRPr="0011669E">
          <w:rPr>
            <w:rStyle w:val="Hyperlink"/>
            <w:b/>
            <w:noProof/>
            <w:color w:val="auto"/>
            <w:sz w:val="24"/>
            <w:szCs w:val="24"/>
            <w:lang w:val="fr-FR"/>
          </w:rPr>
          <w:t>Amount of 9% HTC for 20</w:t>
        </w:r>
        <w:r w:rsidR="0096121A" w:rsidRPr="0011669E">
          <w:rPr>
            <w:rStyle w:val="Hyperlink"/>
            <w:b/>
            <w:noProof/>
            <w:color w:val="auto"/>
            <w:sz w:val="24"/>
            <w:szCs w:val="24"/>
            <w:lang w:val="fr-FR"/>
          </w:rPr>
          <w:t>2</w:t>
        </w:r>
        <w:r w:rsidR="004004FD">
          <w:rPr>
            <w:rStyle w:val="Hyperlink"/>
            <w:b/>
            <w:noProof/>
            <w:color w:val="auto"/>
            <w:sz w:val="24"/>
            <w:szCs w:val="24"/>
            <w:lang w:val="fr-FR"/>
          </w:rPr>
          <w:t>4</w:t>
        </w:r>
        <w:r w:rsidR="00901DB0">
          <w:rPr>
            <w:rStyle w:val="Hyperlink"/>
            <w:b/>
            <w:noProof/>
            <w:color w:val="auto"/>
            <w:sz w:val="24"/>
            <w:szCs w:val="24"/>
            <w:lang w:val="fr-FR"/>
          </w:rPr>
          <w:t>-202</w:t>
        </w:r>
        <w:r w:rsidR="004004FD">
          <w:rPr>
            <w:rStyle w:val="Hyperlink"/>
            <w:b/>
            <w:noProof/>
            <w:color w:val="auto"/>
            <w:sz w:val="24"/>
            <w:szCs w:val="24"/>
            <w:lang w:val="fr-FR"/>
          </w:rPr>
          <w:t>5</w:t>
        </w:r>
        <w:r w:rsidRPr="0011669E">
          <w:rPr>
            <w:rStyle w:val="Hyperlink"/>
            <w:b/>
            <w:noProof/>
            <w:color w:val="auto"/>
            <w:sz w:val="24"/>
            <w:szCs w:val="24"/>
            <w:lang w:val="fr-FR"/>
          </w:rPr>
          <w:t xml:space="preserve"> </w:t>
        </w:r>
        <w:r w:rsidRPr="0011669E">
          <w:rPr>
            <w:b/>
            <w:noProof/>
            <w:webHidden/>
            <w:sz w:val="24"/>
            <w:szCs w:val="24"/>
            <w:lang w:val="fr-FR"/>
          </w:rPr>
          <w:tab/>
        </w:r>
      </w:hyperlink>
      <w:r w:rsidR="000D2FCD">
        <w:rPr>
          <w:b/>
          <w:noProof/>
          <w:sz w:val="24"/>
          <w:szCs w:val="24"/>
          <w:lang w:val="fr-FR"/>
        </w:rPr>
        <w:t>4</w:t>
      </w:r>
    </w:p>
    <w:p w14:paraId="3A36E008" w14:textId="5A497C3A" w:rsidR="003147C9" w:rsidRPr="0011669E" w:rsidRDefault="003147C9" w:rsidP="003147C9">
      <w:pPr>
        <w:pStyle w:val="TOC1"/>
        <w:rPr>
          <w:b/>
          <w:noProof/>
          <w:sz w:val="24"/>
          <w:szCs w:val="24"/>
          <w:lang w:val="fr-FR"/>
        </w:rPr>
      </w:pPr>
      <w:r w:rsidRPr="0011669E">
        <w:rPr>
          <w:rStyle w:val="Hyperlink"/>
          <w:b/>
          <w:noProof/>
          <w:color w:val="auto"/>
          <w:sz w:val="24"/>
          <w:szCs w:val="24"/>
          <w:u w:val="none"/>
          <w:lang w:val="fr-FR"/>
        </w:rPr>
        <w:t>VI</w:t>
      </w:r>
      <w:r w:rsidRPr="0011669E">
        <w:rPr>
          <w:rStyle w:val="Hyperlink"/>
          <w:b/>
          <w:noProof/>
          <w:color w:val="auto"/>
          <w:sz w:val="24"/>
          <w:szCs w:val="24"/>
          <w:u w:val="none"/>
          <w:lang w:val="fr-FR"/>
        </w:rPr>
        <w:tab/>
      </w:r>
      <w:hyperlink w:anchor="_Toc517944900" w:history="1">
        <w:r w:rsidRPr="0011669E">
          <w:rPr>
            <w:rStyle w:val="Hyperlink"/>
            <w:b/>
            <w:noProof/>
            <w:color w:val="auto"/>
            <w:sz w:val="24"/>
            <w:szCs w:val="24"/>
            <w:lang w:val="fr-FR"/>
          </w:rPr>
          <w:t>Application Process</w:t>
        </w:r>
        <w:r w:rsidR="000D2FCD">
          <w:rPr>
            <w:rStyle w:val="Hyperlink"/>
            <w:b/>
            <w:noProof/>
            <w:color w:val="auto"/>
            <w:sz w:val="24"/>
            <w:szCs w:val="24"/>
            <w:lang w:val="fr-FR"/>
          </w:rPr>
          <w:t xml:space="preserve"> – 9%</w:t>
        </w:r>
        <w:r w:rsidRPr="0011669E">
          <w:rPr>
            <w:b/>
            <w:noProof/>
            <w:webHidden/>
            <w:sz w:val="24"/>
            <w:szCs w:val="24"/>
            <w:lang w:val="fr-FR"/>
          </w:rPr>
          <w:tab/>
        </w:r>
        <w:r w:rsidR="00281225" w:rsidRPr="0011669E">
          <w:rPr>
            <w:b/>
            <w:noProof/>
            <w:webHidden/>
            <w:sz w:val="24"/>
            <w:szCs w:val="24"/>
            <w:lang w:val="fr-FR"/>
          </w:rPr>
          <w:t>4</w:t>
        </w:r>
      </w:hyperlink>
    </w:p>
    <w:p w14:paraId="663D6314" w14:textId="77777777" w:rsidR="003147C9" w:rsidRPr="00775548" w:rsidRDefault="003147C9" w:rsidP="003147C9">
      <w:pPr>
        <w:pStyle w:val="TOC3"/>
        <w:ind w:left="403"/>
        <w:rPr>
          <w:b/>
          <w:noProof/>
          <w:sz w:val="24"/>
          <w:szCs w:val="24"/>
        </w:rPr>
      </w:pPr>
      <w:r w:rsidRPr="0011669E">
        <w:rPr>
          <w:rStyle w:val="Hyperlink"/>
          <w:b/>
          <w:noProof/>
          <w:color w:val="auto"/>
          <w:sz w:val="24"/>
          <w:szCs w:val="24"/>
          <w:u w:val="none"/>
          <w:lang w:val="fr-FR"/>
        </w:rPr>
        <w:tab/>
      </w:r>
      <w:hyperlink w:anchor="_Toc517944901" w:history="1">
        <w:r w:rsidRPr="00775548">
          <w:rPr>
            <w:rStyle w:val="Hyperlink"/>
            <w:b/>
            <w:noProof/>
            <w:color w:val="auto"/>
            <w:sz w:val="24"/>
            <w:szCs w:val="24"/>
            <w:u w:val="none"/>
          </w:rPr>
          <w:t>A.</w:t>
        </w:r>
        <w:r w:rsidRPr="00775548">
          <w:rPr>
            <w:b/>
            <w:noProof/>
            <w:sz w:val="24"/>
            <w:szCs w:val="24"/>
          </w:rPr>
          <w:tab/>
        </w:r>
        <w:r w:rsidRPr="00775548">
          <w:rPr>
            <w:rStyle w:val="Hyperlink"/>
            <w:b/>
            <w:noProof/>
            <w:color w:val="auto"/>
            <w:sz w:val="24"/>
            <w:szCs w:val="24"/>
            <w:u w:val="none"/>
          </w:rPr>
          <w:t>Applicants</w:t>
        </w:r>
        <w:r w:rsidRPr="00775548">
          <w:rPr>
            <w:b/>
            <w:noProof/>
            <w:webHidden/>
            <w:sz w:val="24"/>
            <w:szCs w:val="24"/>
          </w:rPr>
          <w:tab/>
        </w:r>
        <w:r w:rsidR="00281225" w:rsidRPr="00775548">
          <w:rPr>
            <w:b/>
            <w:noProof/>
            <w:webHidden/>
            <w:sz w:val="24"/>
            <w:szCs w:val="24"/>
          </w:rPr>
          <w:t>4</w:t>
        </w:r>
      </w:hyperlink>
    </w:p>
    <w:p w14:paraId="5C0EDDBD" w14:textId="77777777" w:rsidR="003147C9" w:rsidRPr="00775548" w:rsidRDefault="003147C9" w:rsidP="003147C9">
      <w:pPr>
        <w:pStyle w:val="TOC3"/>
        <w:ind w:left="403"/>
        <w:rPr>
          <w:b/>
          <w:noProof/>
          <w:sz w:val="24"/>
          <w:szCs w:val="24"/>
        </w:rPr>
      </w:pPr>
      <w:r w:rsidRPr="00775548">
        <w:rPr>
          <w:rStyle w:val="Hyperlink"/>
          <w:b/>
          <w:noProof/>
          <w:color w:val="auto"/>
          <w:sz w:val="24"/>
          <w:szCs w:val="24"/>
          <w:u w:val="none"/>
        </w:rPr>
        <w:tab/>
      </w:r>
      <w:hyperlink w:anchor="_Toc517944902" w:history="1">
        <w:r w:rsidRPr="00775548">
          <w:rPr>
            <w:rStyle w:val="Hyperlink"/>
            <w:b/>
            <w:noProof/>
            <w:color w:val="auto"/>
            <w:sz w:val="24"/>
            <w:szCs w:val="24"/>
            <w:u w:val="none"/>
          </w:rPr>
          <w:t>B.</w:t>
        </w:r>
        <w:r w:rsidRPr="00775548">
          <w:rPr>
            <w:b/>
            <w:noProof/>
            <w:sz w:val="24"/>
            <w:szCs w:val="24"/>
          </w:rPr>
          <w:tab/>
        </w:r>
        <w:r w:rsidRPr="00775548">
          <w:rPr>
            <w:rStyle w:val="Hyperlink"/>
            <w:b/>
            <w:noProof/>
            <w:color w:val="auto"/>
            <w:sz w:val="24"/>
            <w:szCs w:val="24"/>
            <w:u w:val="none"/>
          </w:rPr>
          <w:t>HRA or CPED</w:t>
        </w:r>
        <w:r w:rsidRPr="00775548">
          <w:rPr>
            <w:b/>
            <w:noProof/>
            <w:webHidden/>
            <w:sz w:val="24"/>
            <w:szCs w:val="24"/>
          </w:rPr>
          <w:tab/>
        </w:r>
        <w:r w:rsidR="00281225" w:rsidRPr="00775548">
          <w:rPr>
            <w:b/>
            <w:noProof/>
            <w:webHidden/>
            <w:sz w:val="24"/>
            <w:szCs w:val="24"/>
          </w:rPr>
          <w:t>4</w:t>
        </w:r>
      </w:hyperlink>
    </w:p>
    <w:p w14:paraId="415D95F2" w14:textId="77777777" w:rsidR="003147C9" w:rsidRPr="00775548" w:rsidRDefault="003147C9" w:rsidP="003147C9">
      <w:pPr>
        <w:pStyle w:val="TOC3"/>
        <w:ind w:left="403"/>
        <w:rPr>
          <w:b/>
          <w:noProof/>
          <w:sz w:val="24"/>
          <w:szCs w:val="24"/>
        </w:rPr>
      </w:pPr>
      <w:r w:rsidRPr="00775548">
        <w:rPr>
          <w:rStyle w:val="Hyperlink"/>
          <w:b/>
          <w:noProof/>
          <w:color w:val="auto"/>
          <w:sz w:val="24"/>
          <w:szCs w:val="24"/>
          <w:u w:val="none"/>
        </w:rPr>
        <w:tab/>
      </w:r>
      <w:hyperlink w:anchor="_Toc517944903" w:history="1">
        <w:r w:rsidRPr="00775548">
          <w:rPr>
            <w:rStyle w:val="Hyperlink"/>
            <w:b/>
            <w:noProof/>
            <w:color w:val="auto"/>
            <w:sz w:val="24"/>
            <w:szCs w:val="24"/>
            <w:u w:val="none"/>
          </w:rPr>
          <w:t>C.</w:t>
        </w:r>
        <w:r w:rsidRPr="00775548">
          <w:rPr>
            <w:b/>
            <w:noProof/>
            <w:sz w:val="24"/>
            <w:szCs w:val="24"/>
          </w:rPr>
          <w:tab/>
        </w:r>
        <w:r w:rsidRPr="00775548">
          <w:rPr>
            <w:rStyle w:val="Hyperlink"/>
            <w:b/>
            <w:noProof/>
            <w:color w:val="auto"/>
            <w:sz w:val="24"/>
            <w:szCs w:val="24"/>
            <w:u w:val="none"/>
          </w:rPr>
          <w:t>Special Tax Counsel.</w:t>
        </w:r>
        <w:r w:rsidRPr="00775548">
          <w:rPr>
            <w:b/>
            <w:noProof/>
            <w:webHidden/>
            <w:sz w:val="24"/>
            <w:szCs w:val="24"/>
          </w:rPr>
          <w:tab/>
        </w:r>
        <w:r w:rsidR="00281225" w:rsidRPr="00775548">
          <w:rPr>
            <w:b/>
            <w:noProof/>
            <w:webHidden/>
            <w:sz w:val="24"/>
            <w:szCs w:val="24"/>
          </w:rPr>
          <w:t>4</w:t>
        </w:r>
      </w:hyperlink>
    </w:p>
    <w:p w14:paraId="3E4E292D" w14:textId="301780BB" w:rsidR="003147C9" w:rsidRPr="00775548" w:rsidRDefault="003147C9" w:rsidP="003147C9">
      <w:pPr>
        <w:pStyle w:val="TOC3"/>
        <w:ind w:left="403"/>
        <w:rPr>
          <w:b/>
          <w:noProof/>
          <w:sz w:val="24"/>
          <w:szCs w:val="24"/>
        </w:rPr>
      </w:pPr>
      <w:r w:rsidRPr="00775548">
        <w:rPr>
          <w:rStyle w:val="Hyperlink"/>
          <w:b/>
          <w:noProof/>
          <w:color w:val="auto"/>
          <w:sz w:val="24"/>
          <w:szCs w:val="24"/>
          <w:u w:val="none"/>
        </w:rPr>
        <w:tab/>
      </w:r>
      <w:hyperlink w:anchor="_Toc517944904" w:history="1">
        <w:r w:rsidRPr="00775548">
          <w:rPr>
            <w:rStyle w:val="Hyperlink"/>
            <w:b/>
            <w:noProof/>
            <w:color w:val="auto"/>
            <w:sz w:val="24"/>
            <w:szCs w:val="24"/>
            <w:u w:val="none"/>
          </w:rPr>
          <w:t xml:space="preserve">D. </w:t>
        </w:r>
        <w:r w:rsidRPr="00775548">
          <w:rPr>
            <w:rStyle w:val="Hyperlink"/>
            <w:b/>
            <w:noProof/>
            <w:color w:val="auto"/>
            <w:sz w:val="24"/>
            <w:szCs w:val="24"/>
            <w:u w:val="none"/>
          </w:rPr>
          <w:tab/>
          <w:t>Applicants submitting Applications for projects located in Minneapolis</w:t>
        </w:r>
        <w:r w:rsidRPr="00775548">
          <w:rPr>
            <w:b/>
            <w:noProof/>
            <w:webHidden/>
            <w:sz w:val="24"/>
            <w:szCs w:val="24"/>
          </w:rPr>
          <w:tab/>
        </w:r>
      </w:hyperlink>
      <w:r w:rsidR="00620CB7">
        <w:rPr>
          <w:b/>
          <w:noProof/>
          <w:sz w:val="24"/>
          <w:szCs w:val="24"/>
        </w:rPr>
        <w:t>5</w:t>
      </w:r>
    </w:p>
    <w:p w14:paraId="578E6908" w14:textId="258CC68D" w:rsidR="003147C9" w:rsidRPr="00775548" w:rsidRDefault="003147C9" w:rsidP="003147C9">
      <w:pPr>
        <w:pStyle w:val="TOC3"/>
        <w:ind w:left="403"/>
        <w:rPr>
          <w:b/>
          <w:noProof/>
          <w:sz w:val="24"/>
          <w:szCs w:val="24"/>
        </w:rPr>
      </w:pPr>
      <w:r w:rsidRPr="00775548">
        <w:rPr>
          <w:rStyle w:val="Hyperlink"/>
          <w:b/>
          <w:noProof/>
          <w:color w:val="auto"/>
          <w:sz w:val="24"/>
          <w:szCs w:val="24"/>
          <w:u w:val="none"/>
        </w:rPr>
        <w:tab/>
      </w:r>
      <w:hyperlink w:anchor="_Toc517944905" w:history="1">
        <w:r w:rsidRPr="00775548">
          <w:rPr>
            <w:rStyle w:val="Hyperlink"/>
            <w:b/>
            <w:noProof/>
            <w:color w:val="auto"/>
            <w:sz w:val="24"/>
            <w:szCs w:val="24"/>
            <w:u w:val="none"/>
          </w:rPr>
          <w:t>E.</w:t>
        </w:r>
        <w:r w:rsidRPr="00775548">
          <w:rPr>
            <w:rStyle w:val="Hyperlink"/>
            <w:b/>
            <w:noProof/>
            <w:color w:val="auto"/>
            <w:sz w:val="24"/>
            <w:szCs w:val="24"/>
            <w:u w:val="none"/>
          </w:rPr>
          <w:tab/>
          <w:t>Applicants submitting Applications for projects located in Saint Paul</w:t>
        </w:r>
        <w:r w:rsidRPr="00775548">
          <w:rPr>
            <w:b/>
            <w:noProof/>
            <w:webHidden/>
            <w:sz w:val="24"/>
            <w:szCs w:val="24"/>
          </w:rPr>
          <w:tab/>
        </w:r>
      </w:hyperlink>
      <w:r w:rsidR="00620CB7">
        <w:rPr>
          <w:b/>
          <w:noProof/>
          <w:sz w:val="24"/>
          <w:szCs w:val="24"/>
        </w:rPr>
        <w:t>5</w:t>
      </w:r>
    </w:p>
    <w:p w14:paraId="0D602EE7" w14:textId="24F76124" w:rsidR="003147C9" w:rsidRPr="00775548" w:rsidRDefault="003147C9" w:rsidP="003147C9">
      <w:pPr>
        <w:pStyle w:val="TOC3"/>
        <w:ind w:left="403"/>
        <w:rPr>
          <w:b/>
          <w:noProof/>
          <w:sz w:val="24"/>
          <w:szCs w:val="24"/>
        </w:rPr>
      </w:pPr>
      <w:r w:rsidRPr="00775548">
        <w:rPr>
          <w:rStyle w:val="Hyperlink"/>
          <w:b/>
          <w:noProof/>
          <w:color w:val="auto"/>
          <w:sz w:val="24"/>
          <w:szCs w:val="24"/>
          <w:u w:val="none"/>
        </w:rPr>
        <w:tab/>
      </w:r>
      <w:hyperlink w:anchor="_Toc517944906" w:history="1">
        <w:r w:rsidRPr="00775548">
          <w:rPr>
            <w:rStyle w:val="Hyperlink"/>
            <w:b/>
            <w:noProof/>
            <w:color w:val="auto"/>
            <w:sz w:val="24"/>
            <w:szCs w:val="24"/>
            <w:u w:val="none"/>
          </w:rPr>
          <w:t xml:space="preserve">F. </w:t>
        </w:r>
        <w:r w:rsidRPr="00775548">
          <w:rPr>
            <w:rStyle w:val="Hyperlink"/>
            <w:b/>
            <w:noProof/>
            <w:color w:val="auto"/>
            <w:sz w:val="24"/>
            <w:szCs w:val="24"/>
            <w:u w:val="none"/>
          </w:rPr>
          <w:tab/>
          <w:t>The Mayor of the appropriate City.</w:t>
        </w:r>
        <w:r w:rsidRPr="00775548">
          <w:rPr>
            <w:b/>
            <w:noProof/>
            <w:webHidden/>
            <w:sz w:val="24"/>
            <w:szCs w:val="24"/>
          </w:rPr>
          <w:tab/>
        </w:r>
      </w:hyperlink>
      <w:r w:rsidR="00620CB7">
        <w:rPr>
          <w:b/>
          <w:noProof/>
          <w:sz w:val="24"/>
          <w:szCs w:val="24"/>
        </w:rPr>
        <w:t>5</w:t>
      </w:r>
    </w:p>
    <w:p w14:paraId="3DF402F9" w14:textId="2D08019D" w:rsidR="003147C9" w:rsidRPr="00775548" w:rsidRDefault="003147C9" w:rsidP="003147C9">
      <w:pPr>
        <w:pStyle w:val="TOC3"/>
        <w:ind w:left="403"/>
        <w:rPr>
          <w:b/>
          <w:noProof/>
          <w:sz w:val="24"/>
          <w:szCs w:val="24"/>
        </w:rPr>
      </w:pPr>
      <w:r w:rsidRPr="00775548">
        <w:rPr>
          <w:rStyle w:val="Hyperlink"/>
          <w:b/>
          <w:noProof/>
          <w:color w:val="auto"/>
          <w:sz w:val="24"/>
          <w:szCs w:val="24"/>
          <w:u w:val="none"/>
        </w:rPr>
        <w:tab/>
      </w:r>
      <w:hyperlink w:anchor="_Toc517944907" w:history="1">
        <w:r w:rsidRPr="00775548">
          <w:rPr>
            <w:rStyle w:val="Hyperlink"/>
            <w:b/>
            <w:noProof/>
            <w:color w:val="auto"/>
            <w:sz w:val="24"/>
            <w:szCs w:val="24"/>
            <w:u w:val="none"/>
          </w:rPr>
          <w:t xml:space="preserve">G. </w:t>
        </w:r>
        <w:r w:rsidRPr="00775548">
          <w:rPr>
            <w:rStyle w:val="Hyperlink"/>
            <w:b/>
            <w:noProof/>
            <w:color w:val="auto"/>
            <w:sz w:val="24"/>
            <w:szCs w:val="24"/>
            <w:u w:val="none"/>
          </w:rPr>
          <w:tab/>
          <w:t>The Minneapolis Council or the HRA Board of Commissioners</w:t>
        </w:r>
        <w:r w:rsidRPr="00775548">
          <w:rPr>
            <w:b/>
            <w:noProof/>
            <w:webHidden/>
            <w:sz w:val="24"/>
            <w:szCs w:val="24"/>
          </w:rPr>
          <w:tab/>
        </w:r>
      </w:hyperlink>
      <w:r w:rsidR="00620CB7">
        <w:rPr>
          <w:b/>
          <w:noProof/>
          <w:sz w:val="24"/>
          <w:szCs w:val="24"/>
        </w:rPr>
        <w:t>5</w:t>
      </w:r>
    </w:p>
    <w:p w14:paraId="5522E6FE" w14:textId="77777777" w:rsidR="003147C9" w:rsidRPr="00775548" w:rsidRDefault="003147C9" w:rsidP="00704D53">
      <w:pPr>
        <w:pStyle w:val="TOC1"/>
        <w:rPr>
          <w:b/>
          <w:noProof/>
          <w:sz w:val="24"/>
          <w:szCs w:val="24"/>
        </w:rPr>
      </w:pPr>
      <w:r w:rsidRPr="00775548">
        <w:rPr>
          <w:rStyle w:val="Hyperlink"/>
          <w:b/>
          <w:noProof/>
          <w:color w:val="auto"/>
          <w:sz w:val="24"/>
          <w:szCs w:val="24"/>
          <w:u w:val="none"/>
        </w:rPr>
        <w:t>VII</w:t>
      </w:r>
      <w:r w:rsidRPr="00775548">
        <w:rPr>
          <w:rStyle w:val="Hyperlink"/>
          <w:b/>
          <w:noProof/>
          <w:color w:val="auto"/>
          <w:sz w:val="24"/>
          <w:szCs w:val="24"/>
          <w:u w:val="none"/>
        </w:rPr>
        <w:tab/>
      </w:r>
      <w:hyperlink w:anchor="_Toc517944909" w:history="1">
        <w:r w:rsidRPr="00775548">
          <w:rPr>
            <w:rStyle w:val="Hyperlink"/>
            <w:b/>
            <w:noProof/>
            <w:color w:val="auto"/>
            <w:sz w:val="24"/>
            <w:szCs w:val="24"/>
            <w:u w:val="none"/>
          </w:rPr>
          <w:t>Procedure for Selecting Projects;</w:t>
        </w:r>
        <w:r w:rsidR="00704D53" w:rsidRPr="00775548">
          <w:t xml:space="preserve"> </w:t>
        </w:r>
        <w:r w:rsidR="00704D53" w:rsidRPr="00775548">
          <w:rPr>
            <w:rStyle w:val="Hyperlink"/>
            <w:b/>
            <w:noProof/>
            <w:color w:val="auto"/>
            <w:sz w:val="24"/>
            <w:szCs w:val="24"/>
            <w:u w:val="none"/>
          </w:rPr>
          <w:t>Project Threshold Requirements</w:t>
        </w:r>
        <w:r w:rsidRPr="00775548">
          <w:rPr>
            <w:b/>
            <w:noProof/>
            <w:webHidden/>
            <w:sz w:val="24"/>
            <w:szCs w:val="24"/>
          </w:rPr>
          <w:tab/>
        </w:r>
        <w:r w:rsidR="00281225" w:rsidRPr="00775548">
          <w:rPr>
            <w:b/>
            <w:noProof/>
            <w:webHidden/>
            <w:sz w:val="24"/>
            <w:szCs w:val="24"/>
          </w:rPr>
          <w:t>5</w:t>
        </w:r>
      </w:hyperlink>
    </w:p>
    <w:p w14:paraId="370484A0" w14:textId="604F102F" w:rsidR="003147C9" w:rsidRPr="00775548" w:rsidRDefault="003147C9" w:rsidP="003147C9">
      <w:pPr>
        <w:pStyle w:val="TOC1"/>
        <w:rPr>
          <w:b/>
          <w:noProof/>
          <w:sz w:val="24"/>
          <w:szCs w:val="24"/>
        </w:rPr>
      </w:pPr>
      <w:r w:rsidRPr="00775548">
        <w:rPr>
          <w:rStyle w:val="Hyperlink"/>
          <w:b/>
          <w:noProof/>
          <w:color w:val="auto"/>
          <w:sz w:val="24"/>
          <w:szCs w:val="24"/>
          <w:u w:val="none"/>
        </w:rPr>
        <w:t>VIII</w:t>
      </w:r>
      <w:r w:rsidRPr="00775548">
        <w:rPr>
          <w:rStyle w:val="Hyperlink"/>
          <w:b/>
          <w:noProof/>
          <w:color w:val="auto"/>
          <w:sz w:val="24"/>
          <w:szCs w:val="24"/>
          <w:u w:val="none"/>
        </w:rPr>
        <w:tab/>
      </w:r>
      <w:hyperlink w:anchor="_Toc517944912" w:history="1">
        <w:r w:rsidRPr="00775548">
          <w:rPr>
            <w:rStyle w:val="Hyperlink"/>
            <w:b/>
            <w:noProof/>
            <w:color w:val="auto"/>
            <w:sz w:val="24"/>
            <w:szCs w:val="24"/>
            <w:u w:val="none"/>
          </w:rPr>
          <w:t>HTC for Projects Financed with Tax-Exempt Housing Revenue Bonds</w:t>
        </w:r>
        <w:r w:rsidRPr="00775548">
          <w:rPr>
            <w:b/>
            <w:noProof/>
            <w:webHidden/>
            <w:sz w:val="24"/>
            <w:szCs w:val="24"/>
          </w:rPr>
          <w:tab/>
        </w:r>
      </w:hyperlink>
      <w:r w:rsidR="00620CB7">
        <w:rPr>
          <w:b/>
          <w:noProof/>
          <w:sz w:val="24"/>
          <w:szCs w:val="24"/>
        </w:rPr>
        <w:t>8</w:t>
      </w:r>
    </w:p>
    <w:p w14:paraId="4360CC9C" w14:textId="1330D33C" w:rsidR="003147C9" w:rsidRPr="00775548" w:rsidRDefault="003147C9" w:rsidP="003147C9">
      <w:pPr>
        <w:pStyle w:val="TOC1"/>
        <w:rPr>
          <w:b/>
          <w:noProof/>
          <w:sz w:val="24"/>
          <w:szCs w:val="24"/>
        </w:rPr>
      </w:pPr>
      <w:r w:rsidRPr="00775548">
        <w:rPr>
          <w:rStyle w:val="Hyperlink"/>
          <w:b/>
          <w:noProof/>
          <w:color w:val="auto"/>
          <w:sz w:val="24"/>
          <w:szCs w:val="24"/>
          <w:u w:val="none"/>
        </w:rPr>
        <w:t>IX</w:t>
      </w:r>
      <w:r w:rsidRPr="00775548">
        <w:rPr>
          <w:rStyle w:val="Hyperlink"/>
          <w:b/>
          <w:noProof/>
          <w:color w:val="auto"/>
          <w:sz w:val="24"/>
          <w:szCs w:val="24"/>
          <w:u w:val="none"/>
        </w:rPr>
        <w:tab/>
      </w:r>
      <w:hyperlink w:anchor="_Toc517944914" w:history="1">
        <w:r w:rsidRPr="00775548">
          <w:rPr>
            <w:rStyle w:val="Hyperlink"/>
            <w:b/>
            <w:noProof/>
            <w:color w:val="auto"/>
            <w:sz w:val="24"/>
            <w:szCs w:val="24"/>
            <w:u w:val="none"/>
          </w:rPr>
          <w:t>Compliance Monitoring</w:t>
        </w:r>
        <w:r w:rsidRPr="00775548">
          <w:rPr>
            <w:b/>
            <w:noProof/>
            <w:webHidden/>
            <w:sz w:val="24"/>
            <w:szCs w:val="24"/>
          </w:rPr>
          <w:tab/>
        </w:r>
      </w:hyperlink>
      <w:r w:rsidR="00F85BBC">
        <w:rPr>
          <w:b/>
          <w:noProof/>
          <w:sz w:val="24"/>
          <w:szCs w:val="24"/>
        </w:rPr>
        <w:t>8</w:t>
      </w:r>
    </w:p>
    <w:p w14:paraId="73965862" w14:textId="35D3D629" w:rsidR="003147C9" w:rsidRPr="00775548" w:rsidRDefault="003147C9" w:rsidP="003147C9">
      <w:pPr>
        <w:pStyle w:val="TOC3"/>
        <w:ind w:left="403"/>
        <w:rPr>
          <w:b/>
          <w:noProof/>
          <w:sz w:val="24"/>
          <w:szCs w:val="24"/>
        </w:rPr>
      </w:pPr>
      <w:r w:rsidRPr="00775548">
        <w:rPr>
          <w:rStyle w:val="Hyperlink"/>
          <w:b/>
          <w:noProof/>
          <w:color w:val="auto"/>
          <w:sz w:val="24"/>
          <w:szCs w:val="24"/>
          <w:u w:val="none"/>
        </w:rPr>
        <w:tab/>
      </w:r>
      <w:hyperlink w:anchor="_Toc517944915" w:history="1">
        <w:r w:rsidRPr="00775548">
          <w:rPr>
            <w:rStyle w:val="Hyperlink"/>
            <w:b/>
            <w:noProof/>
            <w:color w:val="auto"/>
            <w:sz w:val="24"/>
            <w:szCs w:val="24"/>
          </w:rPr>
          <w:t>A.</w:t>
        </w:r>
        <w:r w:rsidRPr="00775548">
          <w:rPr>
            <w:b/>
            <w:noProof/>
            <w:sz w:val="24"/>
            <w:szCs w:val="24"/>
          </w:rPr>
          <w:tab/>
        </w:r>
        <w:r w:rsidRPr="00775548">
          <w:rPr>
            <w:rStyle w:val="Hyperlink"/>
            <w:b/>
            <w:noProof/>
            <w:color w:val="auto"/>
            <w:sz w:val="24"/>
            <w:szCs w:val="24"/>
          </w:rPr>
          <w:t>Statutory Requirements</w:t>
        </w:r>
        <w:r w:rsidRPr="00775548">
          <w:rPr>
            <w:b/>
            <w:noProof/>
            <w:webHidden/>
            <w:sz w:val="24"/>
            <w:szCs w:val="24"/>
          </w:rPr>
          <w:tab/>
        </w:r>
      </w:hyperlink>
      <w:r w:rsidR="00F85BBC">
        <w:rPr>
          <w:b/>
          <w:noProof/>
          <w:sz w:val="24"/>
          <w:szCs w:val="24"/>
        </w:rPr>
        <w:t>8</w:t>
      </w:r>
    </w:p>
    <w:p w14:paraId="69C98E07" w14:textId="27BC433E" w:rsidR="003147C9" w:rsidRPr="00775548" w:rsidRDefault="003147C9" w:rsidP="003147C9">
      <w:pPr>
        <w:pStyle w:val="TOC3"/>
        <w:ind w:left="403"/>
        <w:rPr>
          <w:b/>
          <w:noProof/>
          <w:sz w:val="24"/>
          <w:szCs w:val="24"/>
        </w:rPr>
      </w:pPr>
      <w:r w:rsidRPr="00775548">
        <w:rPr>
          <w:rStyle w:val="Hyperlink"/>
          <w:b/>
          <w:noProof/>
          <w:color w:val="auto"/>
          <w:sz w:val="24"/>
          <w:szCs w:val="24"/>
          <w:u w:val="none"/>
        </w:rPr>
        <w:tab/>
      </w:r>
      <w:hyperlink w:anchor="_Toc517944916" w:history="1">
        <w:r w:rsidRPr="00775548">
          <w:rPr>
            <w:rStyle w:val="Hyperlink"/>
            <w:b/>
            <w:noProof/>
            <w:color w:val="auto"/>
            <w:sz w:val="24"/>
            <w:szCs w:val="24"/>
          </w:rPr>
          <w:t>B.</w:t>
        </w:r>
        <w:r w:rsidRPr="00775548">
          <w:rPr>
            <w:b/>
            <w:noProof/>
            <w:sz w:val="24"/>
            <w:szCs w:val="24"/>
          </w:rPr>
          <w:tab/>
        </w:r>
        <w:r w:rsidRPr="00775548">
          <w:rPr>
            <w:rStyle w:val="Hyperlink"/>
            <w:b/>
            <w:noProof/>
            <w:color w:val="auto"/>
            <w:sz w:val="24"/>
            <w:szCs w:val="24"/>
          </w:rPr>
          <w:t>Monitoring Procedure</w:t>
        </w:r>
        <w:r w:rsidRPr="00775548">
          <w:rPr>
            <w:b/>
            <w:noProof/>
            <w:webHidden/>
            <w:sz w:val="24"/>
            <w:szCs w:val="24"/>
          </w:rPr>
          <w:tab/>
        </w:r>
      </w:hyperlink>
      <w:r w:rsidR="00620CB7">
        <w:rPr>
          <w:b/>
          <w:noProof/>
          <w:sz w:val="24"/>
          <w:szCs w:val="24"/>
        </w:rPr>
        <w:t>9</w:t>
      </w:r>
    </w:p>
    <w:p w14:paraId="745A8811" w14:textId="77777777" w:rsidR="003147C9" w:rsidRPr="00775548" w:rsidRDefault="003147C9" w:rsidP="003147C9">
      <w:pPr>
        <w:rPr>
          <w:b/>
          <w:sz w:val="24"/>
          <w:szCs w:val="24"/>
        </w:rPr>
      </w:pPr>
    </w:p>
    <w:p w14:paraId="5022F919" w14:textId="77777777" w:rsidR="00704D53" w:rsidRPr="002A3ECC" w:rsidRDefault="00704D53" w:rsidP="003147C9">
      <w:pPr>
        <w:rPr>
          <w:b/>
          <w:sz w:val="24"/>
          <w:szCs w:val="24"/>
        </w:rPr>
      </w:pPr>
    </w:p>
    <w:p w14:paraId="68BB16E9" w14:textId="77777777" w:rsidR="00704D53" w:rsidRPr="002A3ECC" w:rsidRDefault="00704D53" w:rsidP="003147C9">
      <w:pPr>
        <w:rPr>
          <w:b/>
          <w:sz w:val="24"/>
          <w:szCs w:val="24"/>
        </w:rPr>
      </w:pPr>
    </w:p>
    <w:p w14:paraId="6C6AD8E2" w14:textId="77777777" w:rsidR="00281225" w:rsidRPr="002A3ECC" w:rsidRDefault="00281225" w:rsidP="003147C9">
      <w:pPr>
        <w:rPr>
          <w:b/>
          <w:sz w:val="24"/>
          <w:szCs w:val="24"/>
        </w:rPr>
      </w:pPr>
    </w:p>
    <w:p w14:paraId="5A0F5A0D" w14:textId="77777777" w:rsidR="003147C9" w:rsidRPr="002A3ECC" w:rsidRDefault="003147C9" w:rsidP="003147C9">
      <w:pPr>
        <w:pStyle w:val="BodyText"/>
        <w:tabs>
          <w:tab w:val="clear" w:pos="1260"/>
          <w:tab w:val="left" w:pos="720"/>
        </w:tabs>
        <w:rPr>
          <w:b/>
          <w:szCs w:val="24"/>
        </w:rPr>
      </w:pPr>
      <w:r w:rsidRPr="002A3ECC">
        <w:rPr>
          <w:b/>
          <w:szCs w:val="24"/>
        </w:rPr>
        <w:t>Attachment 1</w:t>
      </w:r>
      <w:r w:rsidRPr="002A3ECC">
        <w:rPr>
          <w:b/>
          <w:szCs w:val="24"/>
        </w:rPr>
        <w:tab/>
      </w:r>
      <w:r w:rsidRPr="002A3ECC">
        <w:rPr>
          <w:rFonts w:ascii="Arial" w:hAnsi="Arial"/>
          <w:b/>
          <w:szCs w:val="24"/>
        </w:rPr>
        <w:tab/>
      </w:r>
      <w:r w:rsidRPr="002A3ECC">
        <w:rPr>
          <w:b/>
          <w:szCs w:val="24"/>
        </w:rPr>
        <w:t>Minneapolis Selection Priorities and Self-Scoring Worksheet</w:t>
      </w:r>
    </w:p>
    <w:p w14:paraId="19FE799E" w14:textId="77777777" w:rsidR="003147C9" w:rsidRPr="002A3ECC" w:rsidRDefault="003147C9" w:rsidP="003147C9">
      <w:pPr>
        <w:pStyle w:val="BodyText"/>
        <w:tabs>
          <w:tab w:val="clear" w:pos="1260"/>
          <w:tab w:val="left" w:pos="720"/>
        </w:tabs>
        <w:rPr>
          <w:b/>
          <w:szCs w:val="24"/>
        </w:rPr>
      </w:pPr>
      <w:r w:rsidRPr="002A3ECC">
        <w:rPr>
          <w:b/>
          <w:szCs w:val="24"/>
        </w:rPr>
        <w:t>Attachment 2</w:t>
      </w:r>
      <w:r w:rsidRPr="002A3ECC">
        <w:rPr>
          <w:b/>
          <w:szCs w:val="24"/>
        </w:rPr>
        <w:tab/>
      </w:r>
      <w:r w:rsidRPr="002A3ECC">
        <w:rPr>
          <w:b/>
          <w:szCs w:val="24"/>
        </w:rPr>
        <w:tab/>
        <w:t>Saint Paul Selection Priorities and Self-Scoring Worksheet</w:t>
      </w:r>
    </w:p>
    <w:p w14:paraId="528C7485" w14:textId="694DD407" w:rsidR="005934EF" w:rsidRPr="002A3ECC" w:rsidRDefault="003147C9" w:rsidP="003147C9">
      <w:pPr>
        <w:rPr>
          <w:bCs/>
          <w:noProof/>
          <w:sz w:val="24"/>
          <w:szCs w:val="24"/>
        </w:rPr>
      </w:pPr>
      <w:r w:rsidRPr="002A3ECC">
        <w:rPr>
          <w:b/>
          <w:sz w:val="24"/>
          <w:szCs w:val="24"/>
        </w:rPr>
        <w:t>Attachment 3</w:t>
      </w:r>
      <w:r w:rsidRPr="002A3ECC">
        <w:rPr>
          <w:b/>
          <w:sz w:val="24"/>
          <w:szCs w:val="24"/>
        </w:rPr>
        <w:tab/>
      </w:r>
      <w:r w:rsidRPr="002A3ECC">
        <w:rPr>
          <w:b/>
          <w:sz w:val="24"/>
          <w:szCs w:val="24"/>
        </w:rPr>
        <w:tab/>
        <w:t xml:space="preserve">Self-Scoring Worksheet-4% HTC </w:t>
      </w:r>
      <w:r w:rsidRPr="002A3ECC">
        <w:rPr>
          <w:bCs/>
          <w:noProof/>
          <w:sz w:val="24"/>
          <w:szCs w:val="24"/>
        </w:rPr>
        <w:fldChar w:fldCharType="end"/>
      </w:r>
      <w:r w:rsidR="00092F9C" w:rsidRPr="002A3ECC">
        <w:rPr>
          <w:b/>
          <w:bCs/>
          <w:noProof/>
          <w:sz w:val="24"/>
          <w:szCs w:val="24"/>
        </w:rPr>
        <w:t xml:space="preserve">- </w:t>
      </w:r>
      <w:r w:rsidR="002A3ECC">
        <w:rPr>
          <w:b/>
          <w:bCs/>
          <w:noProof/>
          <w:sz w:val="24"/>
          <w:szCs w:val="24"/>
        </w:rPr>
        <w:t xml:space="preserve">City of </w:t>
      </w:r>
      <w:r w:rsidR="00092F9C" w:rsidRPr="002A3ECC">
        <w:rPr>
          <w:b/>
          <w:bCs/>
          <w:noProof/>
          <w:sz w:val="24"/>
          <w:szCs w:val="24"/>
        </w:rPr>
        <w:t>Minneapolis</w:t>
      </w:r>
    </w:p>
    <w:p w14:paraId="715EEF26" w14:textId="77777777" w:rsidR="00281225" w:rsidRPr="00281225" w:rsidRDefault="00281225" w:rsidP="003147C9">
      <w:pPr>
        <w:rPr>
          <w:rFonts w:ascii="Arial" w:hAnsi="Arial"/>
          <w:b/>
          <w:sz w:val="28"/>
          <w:szCs w:val="28"/>
        </w:rPr>
      </w:pPr>
      <w:r w:rsidRPr="002A3ECC">
        <w:rPr>
          <w:b/>
          <w:bCs/>
          <w:noProof/>
          <w:sz w:val="24"/>
          <w:szCs w:val="24"/>
        </w:rPr>
        <w:t>Attachment 4</w:t>
      </w:r>
      <w:r w:rsidRPr="002A3ECC">
        <w:rPr>
          <w:b/>
          <w:bCs/>
          <w:noProof/>
          <w:sz w:val="24"/>
          <w:szCs w:val="24"/>
        </w:rPr>
        <w:tab/>
      </w:r>
      <w:r w:rsidRPr="002A3ECC">
        <w:rPr>
          <w:b/>
          <w:bCs/>
          <w:noProof/>
          <w:sz w:val="24"/>
          <w:szCs w:val="24"/>
        </w:rPr>
        <w:tab/>
        <w:t>Self-Scoring Worksheet – 4% HTC – Saint Paul</w:t>
      </w:r>
      <w:r>
        <w:rPr>
          <w:b/>
          <w:bCs/>
          <w:noProof/>
          <w:sz w:val="24"/>
          <w:szCs w:val="24"/>
        </w:rPr>
        <w:t xml:space="preserve"> HRA</w:t>
      </w:r>
    </w:p>
    <w:p w14:paraId="62098707" w14:textId="77777777" w:rsidR="00285FCE" w:rsidRDefault="00285FCE">
      <w:pPr>
        <w:rPr>
          <w:rFonts w:ascii="Arial" w:hAnsi="Arial"/>
          <w:sz w:val="22"/>
        </w:rPr>
      </w:pPr>
    </w:p>
    <w:p w14:paraId="228E0C0F" w14:textId="77777777" w:rsidR="005934EF" w:rsidRDefault="005934EF">
      <w:pPr>
        <w:jc w:val="center"/>
        <w:rPr>
          <w:rFonts w:ascii="Arial" w:hAnsi="Arial"/>
          <w:b/>
          <w:sz w:val="22"/>
        </w:rPr>
        <w:sectPr w:rsidR="005934EF" w:rsidSect="005934EF">
          <w:pgSz w:w="12240" w:h="15840" w:code="1"/>
          <w:pgMar w:top="1440" w:right="1440" w:bottom="1170" w:left="1440" w:header="720" w:footer="720" w:gutter="0"/>
          <w:pgNumType w:start="1"/>
          <w:cols w:space="720"/>
        </w:sectPr>
      </w:pPr>
    </w:p>
    <w:p w14:paraId="3E71603C" w14:textId="77777777" w:rsidR="005934EF" w:rsidRDefault="005934EF">
      <w:pPr>
        <w:jc w:val="center"/>
        <w:rPr>
          <w:rFonts w:ascii="Arial" w:hAnsi="Arial"/>
          <w:b/>
          <w:sz w:val="22"/>
        </w:rPr>
      </w:pPr>
    </w:p>
    <w:p w14:paraId="1E85ADE6" w14:textId="77777777" w:rsidR="00043EEF" w:rsidRDefault="00043EEF">
      <w:pPr>
        <w:jc w:val="center"/>
        <w:rPr>
          <w:rFonts w:ascii="Arial" w:hAnsi="Arial"/>
          <w:b/>
          <w:sz w:val="22"/>
        </w:rPr>
      </w:pPr>
      <w:r>
        <w:rPr>
          <w:rFonts w:ascii="Arial" w:hAnsi="Arial"/>
          <w:b/>
          <w:sz w:val="22"/>
        </w:rPr>
        <w:t>ARTICLE I</w:t>
      </w:r>
    </w:p>
    <w:p w14:paraId="096D0AB4" w14:textId="77777777" w:rsidR="00043EEF" w:rsidRDefault="00043EEF">
      <w:pPr>
        <w:jc w:val="center"/>
        <w:rPr>
          <w:rFonts w:ascii="Arial" w:hAnsi="Arial"/>
          <w:b/>
          <w:sz w:val="22"/>
        </w:rPr>
      </w:pPr>
      <w:r>
        <w:rPr>
          <w:rFonts w:ascii="Arial" w:hAnsi="Arial"/>
          <w:b/>
          <w:sz w:val="22"/>
        </w:rPr>
        <w:t>Purpose</w:t>
      </w:r>
    </w:p>
    <w:p w14:paraId="37404D12" w14:textId="77777777" w:rsidR="009902FA" w:rsidRDefault="009902FA">
      <w:pPr>
        <w:jc w:val="center"/>
        <w:rPr>
          <w:rFonts w:ascii="Arial" w:hAnsi="Arial"/>
          <w:b/>
          <w:sz w:val="22"/>
        </w:rPr>
      </w:pPr>
    </w:p>
    <w:p w14:paraId="38D96F6D" w14:textId="77777777" w:rsidR="002438A6" w:rsidRDefault="00AD24DC" w:rsidP="00194504">
      <w:pPr>
        <w:ind w:firstLine="720"/>
        <w:jc w:val="both"/>
        <w:rPr>
          <w:rFonts w:ascii="Arial" w:hAnsi="Arial"/>
          <w:sz w:val="22"/>
        </w:rPr>
      </w:pPr>
      <w:r>
        <w:rPr>
          <w:rFonts w:ascii="Arial" w:hAnsi="Arial"/>
          <w:snapToGrid w:val="0"/>
          <w:sz w:val="22"/>
        </w:rPr>
        <w:t xml:space="preserve">The </w:t>
      </w:r>
      <w:r w:rsidR="002438A6">
        <w:rPr>
          <w:rFonts w:ascii="Arial" w:hAnsi="Arial"/>
          <w:snapToGrid w:val="0"/>
          <w:sz w:val="22"/>
        </w:rPr>
        <w:t>H</w:t>
      </w:r>
      <w:r>
        <w:rPr>
          <w:rFonts w:ascii="Arial" w:hAnsi="Arial"/>
          <w:snapToGrid w:val="0"/>
          <w:sz w:val="22"/>
        </w:rPr>
        <w:t>ousing Tax Credit (the "HTC</w:t>
      </w:r>
      <w:r w:rsidR="00072C7E">
        <w:rPr>
          <w:rFonts w:ascii="Arial" w:hAnsi="Arial"/>
          <w:snapToGrid w:val="0"/>
          <w:sz w:val="22"/>
        </w:rPr>
        <w:t>")</w:t>
      </w:r>
      <w:r w:rsidR="005C200E">
        <w:rPr>
          <w:rFonts w:ascii="Arial" w:hAnsi="Arial"/>
          <w:snapToGrid w:val="0"/>
          <w:sz w:val="22"/>
        </w:rPr>
        <w:t xml:space="preserve"> is</w:t>
      </w:r>
      <w:r w:rsidR="00072C7E">
        <w:rPr>
          <w:rFonts w:ascii="Arial" w:hAnsi="Arial"/>
          <w:snapToGrid w:val="0"/>
          <w:sz w:val="22"/>
        </w:rPr>
        <w:t xml:space="preserve"> a federal tax credit provided for in S</w:t>
      </w:r>
      <w:r w:rsidR="002438A6">
        <w:rPr>
          <w:rFonts w:ascii="Arial" w:hAnsi="Arial"/>
          <w:snapToGrid w:val="0"/>
          <w:sz w:val="22"/>
        </w:rPr>
        <w:t>ection 42 (“Section 42”) of the Internal Revenue Code of 1986 (the “Code”</w:t>
      </w:r>
      <w:proofErr w:type="gramStart"/>
      <w:r w:rsidR="002438A6">
        <w:rPr>
          <w:rFonts w:ascii="Arial" w:hAnsi="Arial"/>
          <w:snapToGrid w:val="0"/>
          <w:sz w:val="22"/>
        </w:rPr>
        <w:t>)</w:t>
      </w:r>
      <w:r w:rsidR="009F77B2">
        <w:rPr>
          <w:rFonts w:ascii="Arial" w:hAnsi="Arial"/>
          <w:snapToGrid w:val="0"/>
          <w:sz w:val="22"/>
        </w:rPr>
        <w:t xml:space="preserve">, </w:t>
      </w:r>
      <w:r w:rsidR="005C200E">
        <w:rPr>
          <w:rFonts w:ascii="Arial" w:hAnsi="Arial"/>
          <w:snapToGrid w:val="0"/>
          <w:sz w:val="22"/>
        </w:rPr>
        <w:t>and</w:t>
      </w:r>
      <w:proofErr w:type="gramEnd"/>
      <w:r w:rsidR="005C200E">
        <w:rPr>
          <w:rFonts w:ascii="Arial" w:hAnsi="Arial"/>
          <w:snapToGrid w:val="0"/>
          <w:sz w:val="22"/>
        </w:rPr>
        <w:t xml:space="preserve"> is designed to assist in the </w:t>
      </w:r>
      <w:r w:rsidR="009F77B2">
        <w:rPr>
          <w:rFonts w:ascii="Arial" w:hAnsi="Arial"/>
          <w:snapToGrid w:val="0"/>
          <w:sz w:val="22"/>
        </w:rPr>
        <w:t>development of affordable rental housing</w:t>
      </w:r>
      <w:r w:rsidR="00072C7E" w:rsidRPr="00072C7E">
        <w:rPr>
          <w:rFonts w:ascii="Arial" w:hAnsi="Arial"/>
          <w:snapToGrid w:val="0"/>
          <w:sz w:val="22"/>
        </w:rPr>
        <w:t xml:space="preserve"> </w:t>
      </w:r>
      <w:r>
        <w:rPr>
          <w:rFonts w:ascii="Arial" w:hAnsi="Arial"/>
          <w:snapToGrid w:val="0"/>
          <w:sz w:val="22"/>
        </w:rPr>
        <w:t>(the “HTC</w:t>
      </w:r>
      <w:r w:rsidR="00072C7E">
        <w:rPr>
          <w:rFonts w:ascii="Arial" w:hAnsi="Arial"/>
          <w:snapToGrid w:val="0"/>
          <w:sz w:val="22"/>
        </w:rPr>
        <w:t xml:space="preserve"> Program”)</w:t>
      </w:r>
      <w:r w:rsidR="002438A6">
        <w:rPr>
          <w:rFonts w:ascii="Arial" w:hAnsi="Arial"/>
          <w:snapToGrid w:val="0"/>
          <w:sz w:val="22"/>
        </w:rPr>
        <w:t xml:space="preserve">. </w:t>
      </w:r>
    </w:p>
    <w:p w14:paraId="089471CE" w14:textId="77777777" w:rsidR="002438A6" w:rsidRDefault="002438A6" w:rsidP="002438A6">
      <w:pPr>
        <w:jc w:val="both"/>
        <w:rPr>
          <w:rFonts w:ascii="Arial" w:hAnsi="Arial"/>
          <w:sz w:val="22"/>
        </w:rPr>
      </w:pPr>
    </w:p>
    <w:p w14:paraId="41DEB112" w14:textId="7C6C74C4" w:rsidR="00043EEF" w:rsidRDefault="005C200E" w:rsidP="00194504">
      <w:pPr>
        <w:ind w:firstLine="720"/>
        <w:jc w:val="both"/>
        <w:rPr>
          <w:rFonts w:ascii="Arial" w:hAnsi="Arial"/>
          <w:sz w:val="22"/>
        </w:rPr>
      </w:pPr>
      <w:r>
        <w:rPr>
          <w:rFonts w:ascii="Arial" w:hAnsi="Arial"/>
          <w:snapToGrid w:val="0"/>
          <w:sz w:val="22"/>
        </w:rPr>
        <w:t xml:space="preserve">To allocate the HTC to owners of rental projects and administer the </w:t>
      </w:r>
      <w:r w:rsidR="00E7356A">
        <w:rPr>
          <w:rFonts w:ascii="Arial" w:hAnsi="Arial"/>
          <w:snapToGrid w:val="0"/>
          <w:sz w:val="22"/>
        </w:rPr>
        <w:t>HTC</w:t>
      </w:r>
      <w:r>
        <w:rPr>
          <w:rFonts w:ascii="Arial" w:hAnsi="Arial"/>
          <w:snapToGrid w:val="0"/>
          <w:sz w:val="22"/>
        </w:rPr>
        <w:t xml:space="preserve"> Program, </w:t>
      </w:r>
      <w:r w:rsidR="002438A6">
        <w:rPr>
          <w:rFonts w:ascii="Arial" w:hAnsi="Arial"/>
          <w:snapToGrid w:val="0"/>
          <w:sz w:val="22"/>
        </w:rPr>
        <w:t>each state is required to designate a “housing credit agency”</w:t>
      </w:r>
      <w:r w:rsidR="009F77B2">
        <w:rPr>
          <w:rFonts w:ascii="Arial" w:hAnsi="Arial"/>
          <w:snapToGrid w:val="0"/>
          <w:sz w:val="22"/>
        </w:rPr>
        <w:t>.  For the state of Minnesota, t</w:t>
      </w:r>
      <w:r w:rsidR="002438A6" w:rsidRPr="002438A6">
        <w:rPr>
          <w:rFonts w:ascii="Arial" w:hAnsi="Arial"/>
          <w:sz w:val="22"/>
        </w:rPr>
        <w:t>he Minnesota H</w:t>
      </w:r>
      <w:r w:rsidR="00E7356A">
        <w:rPr>
          <w:rFonts w:ascii="Arial" w:hAnsi="Arial"/>
          <w:sz w:val="22"/>
        </w:rPr>
        <w:t>ousing Finance Agency ("Minnesota Housing</w:t>
      </w:r>
      <w:r w:rsidR="002438A6" w:rsidRPr="002438A6">
        <w:rPr>
          <w:rFonts w:ascii="Arial" w:hAnsi="Arial"/>
          <w:sz w:val="22"/>
        </w:rPr>
        <w:t>") has been designated a</w:t>
      </w:r>
      <w:r w:rsidR="00E7356A">
        <w:rPr>
          <w:rFonts w:ascii="Arial" w:hAnsi="Arial"/>
          <w:sz w:val="22"/>
        </w:rPr>
        <w:t xml:space="preserve">s the primary allocator of </w:t>
      </w:r>
      <w:r w:rsidR="00E7356A">
        <w:rPr>
          <w:rFonts w:ascii="Arial" w:hAnsi="Arial"/>
          <w:snapToGrid w:val="0"/>
          <w:sz w:val="22"/>
        </w:rPr>
        <w:t>HTC</w:t>
      </w:r>
      <w:r w:rsidR="009F77B2">
        <w:rPr>
          <w:rFonts w:ascii="Arial" w:hAnsi="Arial"/>
          <w:sz w:val="22"/>
        </w:rPr>
        <w:t>s</w:t>
      </w:r>
      <w:r w:rsidR="002438A6" w:rsidRPr="002438A6">
        <w:rPr>
          <w:rFonts w:ascii="Arial" w:hAnsi="Arial"/>
          <w:sz w:val="22"/>
        </w:rPr>
        <w:t xml:space="preserve"> in Minnesota.  </w:t>
      </w:r>
      <w:r w:rsidR="009F77B2">
        <w:rPr>
          <w:rFonts w:ascii="Arial" w:hAnsi="Arial"/>
          <w:sz w:val="22"/>
        </w:rPr>
        <w:t xml:space="preserve">Pursuant </w:t>
      </w:r>
      <w:r w:rsidR="002438A6" w:rsidRPr="002438A6">
        <w:rPr>
          <w:rFonts w:ascii="Arial" w:hAnsi="Arial"/>
          <w:sz w:val="22"/>
        </w:rPr>
        <w:t>to Minnesota Statues, Sections 462A.220 to 462A. 225 (the "Act")</w:t>
      </w:r>
      <w:r w:rsidR="009F77B2">
        <w:rPr>
          <w:rFonts w:ascii="Arial" w:hAnsi="Arial"/>
          <w:sz w:val="22"/>
        </w:rPr>
        <w:t>,</w:t>
      </w:r>
      <w:r w:rsidR="002438A6" w:rsidRPr="002438A6">
        <w:rPr>
          <w:rFonts w:ascii="Arial" w:hAnsi="Arial"/>
          <w:sz w:val="22"/>
        </w:rPr>
        <w:t xml:space="preserve"> certain local governmental entities are authorized to act as </w:t>
      </w:r>
      <w:r>
        <w:rPr>
          <w:rFonts w:ascii="Arial" w:hAnsi="Arial"/>
          <w:sz w:val="22"/>
        </w:rPr>
        <w:t>“</w:t>
      </w:r>
      <w:r w:rsidR="002438A6" w:rsidRPr="002438A6">
        <w:rPr>
          <w:rFonts w:ascii="Arial" w:hAnsi="Arial"/>
          <w:sz w:val="22"/>
        </w:rPr>
        <w:t>housing credit agencies</w:t>
      </w:r>
      <w:r>
        <w:rPr>
          <w:rFonts w:ascii="Arial" w:hAnsi="Arial"/>
          <w:sz w:val="22"/>
        </w:rPr>
        <w:t>”</w:t>
      </w:r>
      <w:r w:rsidR="002438A6" w:rsidRPr="002438A6">
        <w:rPr>
          <w:rFonts w:ascii="Arial" w:hAnsi="Arial"/>
          <w:sz w:val="22"/>
        </w:rPr>
        <w:t xml:space="preserve"> for the purpose of allocating a portion of the available state 9% </w:t>
      </w:r>
      <w:r w:rsidR="00E7356A">
        <w:rPr>
          <w:rFonts w:ascii="Arial" w:hAnsi="Arial"/>
          <w:snapToGrid w:val="0"/>
          <w:sz w:val="22"/>
        </w:rPr>
        <w:t>HTC</w:t>
      </w:r>
      <w:r w:rsidR="002438A6" w:rsidRPr="002438A6">
        <w:rPr>
          <w:rFonts w:ascii="Arial" w:hAnsi="Arial"/>
          <w:sz w:val="22"/>
        </w:rPr>
        <w:t xml:space="preserve"> (the “9% </w:t>
      </w:r>
      <w:r w:rsidR="00E7356A">
        <w:rPr>
          <w:rFonts w:ascii="Arial" w:hAnsi="Arial"/>
          <w:snapToGrid w:val="0"/>
          <w:sz w:val="22"/>
        </w:rPr>
        <w:t>HTC</w:t>
      </w:r>
      <w:r w:rsidR="002438A6" w:rsidRPr="002438A6">
        <w:rPr>
          <w:rFonts w:ascii="Arial" w:hAnsi="Arial"/>
          <w:sz w:val="22"/>
        </w:rPr>
        <w:t xml:space="preserve">”).  </w:t>
      </w:r>
      <w:r w:rsidR="009F77B2">
        <w:rPr>
          <w:rFonts w:ascii="Arial" w:hAnsi="Arial"/>
          <w:sz w:val="22"/>
        </w:rPr>
        <w:t xml:space="preserve">In accordance with </w:t>
      </w:r>
      <w:r w:rsidR="002438A6" w:rsidRPr="002438A6">
        <w:rPr>
          <w:rFonts w:ascii="Arial" w:hAnsi="Arial"/>
          <w:sz w:val="22"/>
        </w:rPr>
        <w:t>the</w:t>
      </w:r>
      <w:r w:rsidR="001616D4">
        <w:rPr>
          <w:rFonts w:ascii="Arial" w:hAnsi="Arial"/>
          <w:sz w:val="22"/>
        </w:rPr>
        <w:t xml:space="preserve"> Act, the City Councils of the c</w:t>
      </w:r>
      <w:r w:rsidR="002438A6" w:rsidRPr="002438A6">
        <w:rPr>
          <w:rFonts w:ascii="Arial" w:hAnsi="Arial"/>
          <w:sz w:val="22"/>
        </w:rPr>
        <w:t>ities of Minneapolis (“Minneapolis”) and Saint Paul (“</w:t>
      </w:r>
      <w:r w:rsidR="00151B30">
        <w:rPr>
          <w:rFonts w:ascii="Arial" w:hAnsi="Arial"/>
          <w:sz w:val="22"/>
        </w:rPr>
        <w:t>Saint</w:t>
      </w:r>
      <w:r w:rsidR="002438A6" w:rsidRPr="002438A6">
        <w:rPr>
          <w:rFonts w:ascii="Arial" w:hAnsi="Arial"/>
          <w:sz w:val="22"/>
        </w:rPr>
        <w:t xml:space="preserve"> Paul”) </w:t>
      </w:r>
      <w:r w:rsidR="001616D4">
        <w:rPr>
          <w:rFonts w:ascii="Arial" w:hAnsi="Arial"/>
          <w:sz w:val="22"/>
        </w:rPr>
        <w:t xml:space="preserve">have </w:t>
      </w:r>
      <w:r w:rsidR="002438A6" w:rsidRPr="002438A6">
        <w:rPr>
          <w:rFonts w:ascii="Arial" w:hAnsi="Arial"/>
          <w:sz w:val="22"/>
        </w:rPr>
        <w:t>authorized the Minneapolis/Saint Paul Housing Finance Board (the "Board") to act as the housing credit agency for purposes of Section 42 of the Code wit</w:t>
      </w:r>
      <w:r w:rsidR="001616D4">
        <w:rPr>
          <w:rFonts w:ascii="Arial" w:hAnsi="Arial"/>
          <w:sz w:val="22"/>
        </w:rPr>
        <w:t xml:space="preserve">h respect to the portion of the </w:t>
      </w:r>
      <w:r w:rsidR="002438A6" w:rsidRPr="002438A6">
        <w:rPr>
          <w:rFonts w:ascii="Arial" w:hAnsi="Arial"/>
          <w:sz w:val="22"/>
        </w:rPr>
        <w:t xml:space="preserve">9% </w:t>
      </w:r>
      <w:r w:rsidR="00E7356A">
        <w:rPr>
          <w:rFonts w:ascii="Arial" w:hAnsi="Arial"/>
          <w:snapToGrid w:val="0"/>
          <w:sz w:val="22"/>
        </w:rPr>
        <w:t>HTC</w:t>
      </w:r>
      <w:r w:rsidR="002438A6" w:rsidRPr="002438A6">
        <w:rPr>
          <w:rFonts w:ascii="Arial" w:hAnsi="Arial"/>
          <w:sz w:val="22"/>
        </w:rPr>
        <w:t xml:space="preserve"> allocated by </w:t>
      </w:r>
      <w:r w:rsidR="00867B03">
        <w:rPr>
          <w:rFonts w:ascii="Arial" w:hAnsi="Arial"/>
          <w:sz w:val="22"/>
        </w:rPr>
        <w:t xml:space="preserve">Minnesota Housing </w:t>
      </w:r>
      <w:r w:rsidR="001616D4">
        <w:rPr>
          <w:rFonts w:ascii="Arial" w:hAnsi="Arial"/>
          <w:sz w:val="22"/>
        </w:rPr>
        <w:t xml:space="preserve">to </w:t>
      </w:r>
      <w:r w:rsidR="0036236E">
        <w:rPr>
          <w:rFonts w:ascii="Arial" w:hAnsi="Arial"/>
          <w:sz w:val="22"/>
        </w:rPr>
        <w:t>each C</w:t>
      </w:r>
      <w:r w:rsidR="002438A6" w:rsidRPr="002438A6">
        <w:rPr>
          <w:rFonts w:ascii="Arial" w:hAnsi="Arial"/>
          <w:sz w:val="22"/>
        </w:rPr>
        <w:t xml:space="preserve">ity, as well as with respect to the allocation of the </w:t>
      </w:r>
      <w:r w:rsidR="00E7356A">
        <w:rPr>
          <w:rFonts w:ascii="Arial" w:hAnsi="Arial"/>
          <w:snapToGrid w:val="0"/>
          <w:sz w:val="22"/>
        </w:rPr>
        <w:t>HTC</w:t>
      </w:r>
      <w:r w:rsidR="002438A6" w:rsidRPr="002438A6">
        <w:rPr>
          <w:rFonts w:ascii="Arial" w:hAnsi="Arial"/>
          <w:sz w:val="22"/>
        </w:rPr>
        <w:t xml:space="preserve"> available in connection with the issuance of tax-exempt bonds (the “4% </w:t>
      </w:r>
      <w:r w:rsidR="00E7356A">
        <w:rPr>
          <w:rFonts w:ascii="Arial" w:hAnsi="Arial"/>
          <w:snapToGrid w:val="0"/>
          <w:sz w:val="22"/>
        </w:rPr>
        <w:t>HTC</w:t>
      </w:r>
      <w:r w:rsidR="002438A6" w:rsidRPr="002438A6">
        <w:rPr>
          <w:rFonts w:ascii="Arial" w:hAnsi="Arial"/>
          <w:sz w:val="22"/>
        </w:rPr>
        <w:t>”) issued pursuant to Section 142 of the Code.</w:t>
      </w:r>
    </w:p>
    <w:p w14:paraId="173BD316" w14:textId="77777777" w:rsidR="00194504" w:rsidRDefault="00194504" w:rsidP="00194504">
      <w:pPr>
        <w:ind w:firstLine="720"/>
        <w:jc w:val="both"/>
        <w:rPr>
          <w:rFonts w:ascii="Arial" w:hAnsi="Arial"/>
          <w:sz w:val="22"/>
        </w:rPr>
      </w:pPr>
    </w:p>
    <w:p w14:paraId="6D1DBAC5" w14:textId="77777777" w:rsidR="00285FCE" w:rsidRDefault="00285FCE" w:rsidP="00FF2C1A">
      <w:pPr>
        <w:pStyle w:val="BodyText3"/>
        <w:jc w:val="both"/>
      </w:pPr>
    </w:p>
    <w:p w14:paraId="28931838" w14:textId="77777777" w:rsidR="00043EEF" w:rsidRPr="002A3ECC" w:rsidRDefault="00043EEF" w:rsidP="00FF2C1A">
      <w:pPr>
        <w:pStyle w:val="Heading2"/>
        <w:rPr>
          <w:rFonts w:ascii="Arial" w:hAnsi="Arial"/>
          <w:sz w:val="22"/>
        </w:rPr>
      </w:pPr>
      <w:r w:rsidRPr="002A3ECC">
        <w:rPr>
          <w:rFonts w:ascii="Arial" w:hAnsi="Arial"/>
          <w:sz w:val="22"/>
        </w:rPr>
        <w:t>ARTICLE II</w:t>
      </w:r>
    </w:p>
    <w:p w14:paraId="2E14F18A" w14:textId="77777777" w:rsidR="00043EEF" w:rsidRPr="002A3ECC" w:rsidRDefault="00043EEF" w:rsidP="00FF2C1A">
      <w:pPr>
        <w:jc w:val="center"/>
        <w:rPr>
          <w:rFonts w:ascii="Arial" w:hAnsi="Arial"/>
          <w:b/>
          <w:sz w:val="22"/>
        </w:rPr>
      </w:pPr>
      <w:r w:rsidRPr="002A3ECC">
        <w:rPr>
          <w:rFonts w:ascii="Arial" w:hAnsi="Arial"/>
          <w:b/>
          <w:sz w:val="22"/>
        </w:rPr>
        <w:t>Authority</w:t>
      </w:r>
    </w:p>
    <w:p w14:paraId="748302C3" w14:textId="77777777" w:rsidR="00043EEF" w:rsidRPr="002A3ECC" w:rsidRDefault="00043EEF" w:rsidP="00FF2C1A">
      <w:pPr>
        <w:jc w:val="both"/>
        <w:rPr>
          <w:rFonts w:ascii="Arial" w:hAnsi="Arial"/>
          <w:sz w:val="22"/>
        </w:rPr>
      </w:pPr>
    </w:p>
    <w:p w14:paraId="610DE58E" w14:textId="27A3601E" w:rsidR="00194504" w:rsidRPr="002A3ECC" w:rsidRDefault="006618B7" w:rsidP="00194504">
      <w:pPr>
        <w:pStyle w:val="BodyText3"/>
        <w:jc w:val="both"/>
      </w:pPr>
      <w:r w:rsidRPr="002A3ECC">
        <w:tab/>
      </w:r>
      <w:r w:rsidR="00194504" w:rsidRPr="002A3ECC">
        <w:t>Section 42(m) of the Code requires housing tax credit agencies, such as the Board, to develop and adopt a “qualified allocation plan”</w:t>
      </w:r>
      <w:r w:rsidR="00092F9C" w:rsidRPr="002A3ECC">
        <w:t>.</w:t>
      </w:r>
      <w:r w:rsidR="00194504" w:rsidRPr="002A3ECC">
        <w:t xml:space="preserve"> </w:t>
      </w:r>
      <w:r w:rsidR="00092F9C" w:rsidRPr="002A3ECC">
        <w:t>The Qualified Allocation Plan</w:t>
      </w:r>
      <w:r w:rsidR="00194504" w:rsidRPr="002A3ECC">
        <w:t xml:space="preserve"> sets forth selection criteria to be used to determine housing priorities of the housing credit agency </w:t>
      </w:r>
      <w:r w:rsidR="00092F9C" w:rsidRPr="002A3ECC">
        <w:t>that</w:t>
      </w:r>
      <w:r w:rsidR="00194504" w:rsidRPr="002A3ECC">
        <w:t xml:space="preserve"> are appropriate to local conditions</w:t>
      </w:r>
      <w:r w:rsidR="00092F9C" w:rsidRPr="002A3ECC">
        <w:t>. It also establishes</w:t>
      </w:r>
      <w:r w:rsidR="00194504" w:rsidRPr="002A3ECC">
        <w:t xml:space="preserve"> certain priorities and preferences as a condition to allocating </w:t>
      </w:r>
      <w:r w:rsidR="00E7356A" w:rsidRPr="002A3ECC">
        <w:rPr>
          <w:snapToGrid w:val="0"/>
        </w:rPr>
        <w:t>HTC</w:t>
      </w:r>
      <w:r w:rsidR="005F59CF" w:rsidRPr="002A3ECC">
        <w:t xml:space="preserve">s for </w:t>
      </w:r>
      <w:r w:rsidR="0036236E" w:rsidRPr="002A3ECC">
        <w:t xml:space="preserve">rental </w:t>
      </w:r>
      <w:r w:rsidR="00194504" w:rsidRPr="002A3ECC">
        <w:t xml:space="preserve">housing projects.  </w:t>
      </w:r>
      <w:r w:rsidR="005F59CF" w:rsidRPr="002A3ECC">
        <w:t xml:space="preserve">It has been determined to be </w:t>
      </w:r>
      <w:r w:rsidR="00092F9C" w:rsidRPr="002A3ECC">
        <w:t xml:space="preserve">in the </w:t>
      </w:r>
      <w:r w:rsidR="00194504" w:rsidRPr="002A3ECC">
        <w:t xml:space="preserve">best interest of the public health, safety and welfare of the </w:t>
      </w:r>
      <w:r w:rsidR="00CF5C1C">
        <w:t>residents</w:t>
      </w:r>
      <w:r w:rsidR="003A1F54">
        <w:t xml:space="preserve"> </w:t>
      </w:r>
      <w:r w:rsidR="00194504" w:rsidRPr="002A3ECC">
        <w:t xml:space="preserve">of the Cities of Minneapolis and </w:t>
      </w:r>
      <w:r w:rsidR="00151B30" w:rsidRPr="002A3ECC">
        <w:t>Saint</w:t>
      </w:r>
      <w:r w:rsidR="00194504" w:rsidRPr="002A3ECC">
        <w:t xml:space="preserve"> Paul that an effective qualified allocation plan be </w:t>
      </w:r>
      <w:r w:rsidR="005F59CF" w:rsidRPr="002A3ECC">
        <w:t xml:space="preserve">adopted.  </w:t>
      </w:r>
    </w:p>
    <w:p w14:paraId="6D2C5605" w14:textId="77777777" w:rsidR="00194504" w:rsidRPr="002A3ECC" w:rsidRDefault="00194504" w:rsidP="00194504">
      <w:pPr>
        <w:jc w:val="both"/>
        <w:rPr>
          <w:rFonts w:ascii="Arial" w:hAnsi="Arial"/>
          <w:sz w:val="22"/>
        </w:rPr>
      </w:pPr>
    </w:p>
    <w:p w14:paraId="58ECEB10" w14:textId="77777777" w:rsidR="00043EEF" w:rsidRDefault="006618B7" w:rsidP="00194504">
      <w:pPr>
        <w:ind w:firstLine="720"/>
        <w:jc w:val="both"/>
        <w:rPr>
          <w:rFonts w:ascii="Arial" w:hAnsi="Arial"/>
          <w:sz w:val="22"/>
        </w:rPr>
      </w:pPr>
      <w:r w:rsidRPr="002A3ECC">
        <w:rPr>
          <w:rFonts w:ascii="Arial" w:hAnsi="Arial"/>
          <w:sz w:val="22"/>
        </w:rPr>
        <w:t xml:space="preserve">This </w:t>
      </w:r>
      <w:r w:rsidR="00125B05" w:rsidRPr="002A3ECC">
        <w:rPr>
          <w:rFonts w:ascii="Arial" w:hAnsi="Arial"/>
          <w:sz w:val="22"/>
        </w:rPr>
        <w:t xml:space="preserve">Qualified Allocation </w:t>
      </w:r>
      <w:r w:rsidRPr="002A3ECC">
        <w:rPr>
          <w:rFonts w:ascii="Arial" w:hAnsi="Arial"/>
          <w:sz w:val="22"/>
        </w:rPr>
        <w:t xml:space="preserve">Plan </w:t>
      </w:r>
      <w:r w:rsidR="001616D4" w:rsidRPr="002A3ECC">
        <w:rPr>
          <w:rFonts w:ascii="Arial" w:hAnsi="Arial"/>
          <w:sz w:val="22"/>
        </w:rPr>
        <w:t>(“QA</w:t>
      </w:r>
      <w:r w:rsidR="00E7356A" w:rsidRPr="002A3ECC">
        <w:rPr>
          <w:rFonts w:ascii="Arial" w:hAnsi="Arial"/>
          <w:sz w:val="22"/>
        </w:rPr>
        <w:t>P</w:t>
      </w:r>
      <w:r w:rsidR="001616D4" w:rsidRPr="002A3ECC">
        <w:rPr>
          <w:rFonts w:ascii="Arial" w:hAnsi="Arial"/>
          <w:sz w:val="22"/>
        </w:rPr>
        <w:t>”)</w:t>
      </w:r>
      <w:r w:rsidR="00522BFD" w:rsidRPr="002A3ECC">
        <w:rPr>
          <w:rFonts w:ascii="Arial" w:hAnsi="Arial"/>
          <w:sz w:val="22"/>
        </w:rPr>
        <w:t>, which incorporates</w:t>
      </w:r>
      <w:r w:rsidR="00522BFD">
        <w:rPr>
          <w:rFonts w:ascii="Arial" w:hAnsi="Arial"/>
          <w:sz w:val="22"/>
        </w:rPr>
        <w:t xml:space="preserve"> by reference the Procedural Manual </w:t>
      </w:r>
      <w:r w:rsidR="0096121A">
        <w:rPr>
          <w:rFonts w:ascii="Arial" w:hAnsi="Arial"/>
          <w:sz w:val="22"/>
        </w:rPr>
        <w:t xml:space="preserve">and Compliance Manual </w:t>
      </w:r>
      <w:r w:rsidR="00522BFD">
        <w:rPr>
          <w:rFonts w:ascii="Arial" w:hAnsi="Arial"/>
          <w:sz w:val="22"/>
        </w:rPr>
        <w:t xml:space="preserve">(as described </w:t>
      </w:r>
      <w:r w:rsidR="006822F9">
        <w:rPr>
          <w:rFonts w:ascii="Arial" w:hAnsi="Arial"/>
          <w:sz w:val="22"/>
        </w:rPr>
        <w:t>herein)</w:t>
      </w:r>
      <w:r w:rsidR="0036236E">
        <w:rPr>
          <w:rFonts w:ascii="Arial" w:hAnsi="Arial"/>
          <w:sz w:val="22"/>
        </w:rPr>
        <w:t>, adopted by the Board,</w:t>
      </w:r>
      <w:r w:rsidR="001616D4">
        <w:rPr>
          <w:rFonts w:ascii="Arial" w:hAnsi="Arial"/>
          <w:sz w:val="22"/>
        </w:rPr>
        <w:t xml:space="preserve"> </w:t>
      </w:r>
      <w:r w:rsidR="00A836D6">
        <w:rPr>
          <w:rFonts w:ascii="Arial" w:hAnsi="Arial"/>
          <w:sz w:val="22"/>
        </w:rPr>
        <w:t xml:space="preserve">shall be </w:t>
      </w:r>
      <w:r w:rsidR="00043EEF">
        <w:rPr>
          <w:rFonts w:ascii="Arial" w:hAnsi="Arial"/>
          <w:sz w:val="22"/>
        </w:rPr>
        <w:t xml:space="preserve">construed and governed </w:t>
      </w:r>
      <w:r w:rsidR="001616D4">
        <w:rPr>
          <w:rFonts w:ascii="Arial" w:hAnsi="Arial"/>
          <w:sz w:val="22"/>
        </w:rPr>
        <w:t xml:space="preserve">pursuant to </w:t>
      </w:r>
      <w:r w:rsidR="00043EEF">
        <w:rPr>
          <w:rFonts w:ascii="Arial" w:hAnsi="Arial"/>
          <w:sz w:val="22"/>
        </w:rPr>
        <w:t>the laws of the State of Minnesota</w:t>
      </w:r>
      <w:r w:rsidR="0036236E">
        <w:rPr>
          <w:rFonts w:ascii="Arial" w:hAnsi="Arial"/>
          <w:sz w:val="22"/>
        </w:rPr>
        <w:t xml:space="preserve"> (</w:t>
      </w:r>
      <w:r w:rsidR="003E685F">
        <w:rPr>
          <w:rFonts w:ascii="Arial" w:hAnsi="Arial"/>
          <w:sz w:val="22"/>
        </w:rPr>
        <w:t>including but not limite</w:t>
      </w:r>
      <w:r w:rsidR="005C200E">
        <w:rPr>
          <w:rFonts w:ascii="Arial" w:hAnsi="Arial"/>
          <w:sz w:val="22"/>
        </w:rPr>
        <w:t>d to the Act</w:t>
      </w:r>
      <w:r w:rsidR="0036236E">
        <w:rPr>
          <w:rFonts w:ascii="Arial" w:hAnsi="Arial"/>
          <w:sz w:val="22"/>
        </w:rPr>
        <w:t>)</w:t>
      </w:r>
      <w:r w:rsidR="005C200E">
        <w:rPr>
          <w:rFonts w:ascii="Arial" w:hAnsi="Arial"/>
          <w:sz w:val="22"/>
        </w:rPr>
        <w:t xml:space="preserve"> and</w:t>
      </w:r>
      <w:r w:rsidR="003E685F">
        <w:rPr>
          <w:rFonts w:ascii="Arial" w:hAnsi="Arial"/>
          <w:sz w:val="22"/>
        </w:rPr>
        <w:t xml:space="preserve"> </w:t>
      </w:r>
      <w:r>
        <w:rPr>
          <w:rFonts w:ascii="Arial" w:hAnsi="Arial"/>
          <w:sz w:val="22"/>
        </w:rPr>
        <w:t>Section 42 of the Code</w:t>
      </w:r>
      <w:r w:rsidR="006869E3">
        <w:rPr>
          <w:rFonts w:ascii="Arial" w:hAnsi="Arial"/>
          <w:sz w:val="22"/>
        </w:rPr>
        <w:t xml:space="preserve"> and t</w:t>
      </w:r>
      <w:r w:rsidR="005C200E">
        <w:rPr>
          <w:rFonts w:ascii="Arial" w:hAnsi="Arial"/>
          <w:sz w:val="22"/>
        </w:rPr>
        <w:t xml:space="preserve">he </w:t>
      </w:r>
      <w:r w:rsidR="006869E3">
        <w:rPr>
          <w:rFonts w:ascii="Arial" w:hAnsi="Arial"/>
          <w:sz w:val="22"/>
        </w:rPr>
        <w:t>regu</w:t>
      </w:r>
      <w:r w:rsidRPr="006618B7">
        <w:rPr>
          <w:rFonts w:ascii="Arial" w:hAnsi="Arial"/>
          <w:sz w:val="22"/>
        </w:rPr>
        <w:t>lations</w:t>
      </w:r>
      <w:r w:rsidR="00072C7E" w:rsidRPr="00072C7E">
        <w:rPr>
          <w:rFonts w:ascii="Arial" w:hAnsi="Arial"/>
          <w:snapToGrid w:val="0"/>
          <w:sz w:val="22"/>
        </w:rPr>
        <w:t xml:space="preserve"> </w:t>
      </w:r>
      <w:r w:rsidR="005C200E">
        <w:rPr>
          <w:rFonts w:ascii="Arial" w:hAnsi="Arial"/>
          <w:snapToGrid w:val="0"/>
          <w:sz w:val="22"/>
        </w:rPr>
        <w:t xml:space="preserve">promulgated </w:t>
      </w:r>
      <w:r w:rsidR="006869E3">
        <w:rPr>
          <w:rFonts w:ascii="Arial" w:hAnsi="Arial"/>
          <w:snapToGrid w:val="0"/>
          <w:sz w:val="22"/>
        </w:rPr>
        <w:t>in</w:t>
      </w:r>
      <w:r w:rsidR="005C200E">
        <w:rPr>
          <w:rFonts w:ascii="Arial" w:hAnsi="Arial"/>
          <w:snapToGrid w:val="0"/>
          <w:sz w:val="22"/>
        </w:rPr>
        <w:t xml:space="preserve"> connection with Section 42 </w:t>
      </w:r>
      <w:r w:rsidR="00072C7E">
        <w:rPr>
          <w:rFonts w:ascii="Arial" w:hAnsi="Arial"/>
          <w:snapToGrid w:val="0"/>
          <w:sz w:val="22"/>
        </w:rPr>
        <w:t>(the “Treasury Regulations”)</w:t>
      </w:r>
      <w:r w:rsidR="00A836D6">
        <w:rPr>
          <w:rFonts w:ascii="Arial" w:hAnsi="Arial"/>
          <w:sz w:val="22"/>
        </w:rPr>
        <w:t xml:space="preserve">.  </w:t>
      </w:r>
      <w:r w:rsidR="003E685F">
        <w:rPr>
          <w:rFonts w:ascii="Arial" w:hAnsi="Arial"/>
          <w:sz w:val="22"/>
        </w:rPr>
        <w:t xml:space="preserve">Allocations of </w:t>
      </w:r>
      <w:r w:rsidR="00E7356A">
        <w:rPr>
          <w:rFonts w:ascii="Arial" w:hAnsi="Arial"/>
          <w:snapToGrid w:val="0"/>
          <w:sz w:val="22"/>
        </w:rPr>
        <w:t>HTC</w:t>
      </w:r>
      <w:r w:rsidR="00A836D6">
        <w:rPr>
          <w:rFonts w:ascii="Arial" w:hAnsi="Arial"/>
          <w:sz w:val="22"/>
        </w:rPr>
        <w:t xml:space="preserve">s by </w:t>
      </w:r>
      <w:r w:rsidR="00867B03">
        <w:rPr>
          <w:rFonts w:ascii="Arial" w:hAnsi="Arial"/>
          <w:sz w:val="22"/>
        </w:rPr>
        <w:t>Minnesota Housing</w:t>
      </w:r>
      <w:r w:rsidR="00A836D6">
        <w:rPr>
          <w:rFonts w:ascii="Arial" w:hAnsi="Arial"/>
          <w:sz w:val="22"/>
        </w:rPr>
        <w:t xml:space="preserve"> to Minneapolis and </w:t>
      </w:r>
      <w:r w:rsidR="00151B30">
        <w:rPr>
          <w:rFonts w:ascii="Arial" w:hAnsi="Arial"/>
          <w:sz w:val="22"/>
        </w:rPr>
        <w:t>Saint</w:t>
      </w:r>
      <w:r w:rsidR="00A836D6">
        <w:rPr>
          <w:rFonts w:ascii="Arial" w:hAnsi="Arial"/>
          <w:sz w:val="22"/>
        </w:rPr>
        <w:t xml:space="preserve"> Paul</w:t>
      </w:r>
      <w:r w:rsidR="00140418">
        <w:rPr>
          <w:rFonts w:ascii="Arial" w:hAnsi="Arial"/>
          <w:sz w:val="22"/>
        </w:rPr>
        <w:t xml:space="preserve"> </w:t>
      </w:r>
      <w:r w:rsidR="003E685F">
        <w:rPr>
          <w:rFonts w:ascii="Arial" w:hAnsi="Arial"/>
          <w:sz w:val="22"/>
        </w:rPr>
        <w:t>pursuant to the Act s</w:t>
      </w:r>
      <w:r w:rsidR="00043EEF">
        <w:rPr>
          <w:rFonts w:ascii="Arial" w:hAnsi="Arial"/>
          <w:sz w:val="22"/>
        </w:rPr>
        <w:t xml:space="preserve">hall be allocated </w:t>
      </w:r>
      <w:r w:rsidR="003E685F">
        <w:rPr>
          <w:rFonts w:ascii="Arial" w:hAnsi="Arial"/>
          <w:sz w:val="22"/>
        </w:rPr>
        <w:t xml:space="preserve">to specific project owners </w:t>
      </w:r>
      <w:r w:rsidR="00043EEF">
        <w:rPr>
          <w:rFonts w:ascii="Arial" w:hAnsi="Arial"/>
          <w:sz w:val="22"/>
        </w:rPr>
        <w:t>by</w:t>
      </w:r>
      <w:r w:rsidR="003E685F">
        <w:rPr>
          <w:rFonts w:ascii="Arial" w:hAnsi="Arial"/>
          <w:sz w:val="22"/>
        </w:rPr>
        <w:t xml:space="preserve"> the Board, </w:t>
      </w:r>
      <w:r w:rsidR="00043EEF">
        <w:rPr>
          <w:rFonts w:ascii="Arial" w:hAnsi="Arial"/>
          <w:sz w:val="22"/>
        </w:rPr>
        <w:t xml:space="preserve">as </w:t>
      </w:r>
      <w:r w:rsidR="00140418">
        <w:rPr>
          <w:rFonts w:ascii="Arial" w:hAnsi="Arial"/>
          <w:sz w:val="22"/>
        </w:rPr>
        <w:t xml:space="preserve">the </w:t>
      </w:r>
      <w:r w:rsidR="003E685F">
        <w:rPr>
          <w:rFonts w:ascii="Arial" w:hAnsi="Arial"/>
          <w:sz w:val="22"/>
        </w:rPr>
        <w:t xml:space="preserve">designated </w:t>
      </w:r>
      <w:r w:rsidR="00140418">
        <w:rPr>
          <w:rFonts w:ascii="Arial" w:hAnsi="Arial"/>
          <w:sz w:val="22"/>
        </w:rPr>
        <w:t xml:space="preserve">housing tax credit agency </w:t>
      </w:r>
      <w:r w:rsidR="00043EEF">
        <w:rPr>
          <w:rFonts w:ascii="Arial" w:hAnsi="Arial"/>
          <w:sz w:val="22"/>
        </w:rPr>
        <w:t>for the Cities of Minneapolis and Saint Paul</w:t>
      </w:r>
      <w:r w:rsidR="00612832">
        <w:rPr>
          <w:rFonts w:ascii="Arial" w:hAnsi="Arial"/>
          <w:sz w:val="22"/>
        </w:rPr>
        <w:t xml:space="preserve">, </w:t>
      </w:r>
      <w:r w:rsidR="003E685F">
        <w:rPr>
          <w:rFonts w:ascii="Arial" w:hAnsi="Arial"/>
          <w:sz w:val="22"/>
        </w:rPr>
        <w:t>in accordance with this QA</w:t>
      </w:r>
      <w:r w:rsidR="00E7356A">
        <w:rPr>
          <w:rFonts w:ascii="Arial" w:hAnsi="Arial"/>
          <w:sz w:val="22"/>
        </w:rPr>
        <w:t>P</w:t>
      </w:r>
      <w:r w:rsidR="00AC76D3">
        <w:rPr>
          <w:rFonts w:ascii="Arial" w:hAnsi="Arial"/>
          <w:sz w:val="22"/>
        </w:rPr>
        <w:t>.</w:t>
      </w:r>
    </w:p>
    <w:p w14:paraId="1402985C" w14:textId="77777777" w:rsidR="00043EEF" w:rsidRDefault="00043EEF" w:rsidP="00FF2C1A">
      <w:pPr>
        <w:jc w:val="both"/>
        <w:rPr>
          <w:rFonts w:ascii="Arial" w:hAnsi="Arial"/>
          <w:sz w:val="22"/>
        </w:rPr>
      </w:pPr>
    </w:p>
    <w:p w14:paraId="429BC934" w14:textId="2C04CB02" w:rsidR="00043EEF" w:rsidRDefault="00043EEF" w:rsidP="00FF2C1A">
      <w:pPr>
        <w:jc w:val="both"/>
        <w:rPr>
          <w:rFonts w:ascii="Arial" w:hAnsi="Arial"/>
          <w:sz w:val="22"/>
        </w:rPr>
      </w:pPr>
      <w:r>
        <w:rPr>
          <w:rFonts w:ascii="Arial" w:hAnsi="Arial"/>
          <w:sz w:val="22"/>
        </w:rPr>
        <w:tab/>
      </w:r>
      <w:r w:rsidRPr="002A3ECC">
        <w:rPr>
          <w:rFonts w:ascii="Arial" w:hAnsi="Arial"/>
          <w:sz w:val="22"/>
        </w:rPr>
        <w:t xml:space="preserve">This </w:t>
      </w:r>
      <w:r w:rsidR="00E7356A" w:rsidRPr="002A3ECC">
        <w:rPr>
          <w:rFonts w:ascii="Arial" w:hAnsi="Arial"/>
          <w:sz w:val="22"/>
        </w:rPr>
        <w:t>QAP</w:t>
      </w:r>
      <w:r w:rsidR="00125B05" w:rsidRPr="002A3ECC">
        <w:rPr>
          <w:rFonts w:ascii="Arial" w:hAnsi="Arial"/>
          <w:sz w:val="22"/>
        </w:rPr>
        <w:t xml:space="preserve"> </w:t>
      </w:r>
      <w:r w:rsidRPr="002A3ECC">
        <w:rPr>
          <w:rFonts w:ascii="Arial" w:hAnsi="Arial"/>
          <w:sz w:val="22"/>
        </w:rPr>
        <w:t xml:space="preserve">was prepared by the staff of the </w:t>
      </w:r>
      <w:r w:rsidR="00133988" w:rsidRPr="002A3ECC">
        <w:rPr>
          <w:rFonts w:ascii="Arial" w:hAnsi="Arial"/>
          <w:sz w:val="22"/>
        </w:rPr>
        <w:t>Community Planning &amp; Economic Development</w:t>
      </w:r>
      <w:r w:rsidRPr="002A3ECC">
        <w:rPr>
          <w:rFonts w:ascii="Arial" w:hAnsi="Arial"/>
          <w:sz w:val="22"/>
        </w:rPr>
        <w:t xml:space="preserve"> </w:t>
      </w:r>
      <w:r w:rsidR="00092F9C" w:rsidRPr="002A3ECC">
        <w:rPr>
          <w:rFonts w:ascii="Arial" w:hAnsi="Arial"/>
          <w:sz w:val="22"/>
        </w:rPr>
        <w:t xml:space="preserve">Department </w:t>
      </w:r>
      <w:r w:rsidRPr="002A3ECC">
        <w:rPr>
          <w:rFonts w:ascii="Arial" w:hAnsi="Arial"/>
          <w:sz w:val="22"/>
        </w:rPr>
        <w:t>(</w:t>
      </w:r>
      <w:r w:rsidR="006869E3" w:rsidRPr="002A3ECC">
        <w:rPr>
          <w:rFonts w:ascii="Arial" w:hAnsi="Arial"/>
          <w:sz w:val="22"/>
        </w:rPr>
        <w:t>“</w:t>
      </w:r>
      <w:r w:rsidR="00133988" w:rsidRPr="002A3ECC">
        <w:rPr>
          <w:rFonts w:ascii="Arial" w:hAnsi="Arial"/>
          <w:sz w:val="22"/>
        </w:rPr>
        <w:t>CPED</w:t>
      </w:r>
      <w:r w:rsidR="006869E3" w:rsidRPr="002A3ECC">
        <w:rPr>
          <w:rFonts w:ascii="Arial" w:hAnsi="Arial"/>
          <w:sz w:val="22"/>
        </w:rPr>
        <w:t>”</w:t>
      </w:r>
      <w:r w:rsidRPr="002A3ECC">
        <w:rPr>
          <w:rFonts w:ascii="Arial" w:hAnsi="Arial"/>
          <w:sz w:val="22"/>
        </w:rPr>
        <w:t xml:space="preserve">) </w:t>
      </w:r>
      <w:r w:rsidR="009738E3" w:rsidRPr="002A3ECC">
        <w:rPr>
          <w:rFonts w:ascii="Arial" w:hAnsi="Arial"/>
          <w:sz w:val="22"/>
        </w:rPr>
        <w:t xml:space="preserve">of the City of Minneapolis </w:t>
      </w:r>
      <w:r w:rsidRPr="002A3ECC">
        <w:rPr>
          <w:rFonts w:ascii="Arial" w:hAnsi="Arial"/>
          <w:sz w:val="22"/>
        </w:rPr>
        <w:t>and the Department of Planning and Economic Development of the City of Saint Paul (“PED”)</w:t>
      </w:r>
      <w:r w:rsidR="00612832" w:rsidRPr="002A3ECC">
        <w:rPr>
          <w:rFonts w:ascii="Arial" w:hAnsi="Arial"/>
          <w:sz w:val="22"/>
        </w:rPr>
        <w:t>,</w:t>
      </w:r>
      <w:r w:rsidRPr="002A3ECC">
        <w:rPr>
          <w:rFonts w:ascii="Arial" w:hAnsi="Arial"/>
          <w:sz w:val="22"/>
        </w:rPr>
        <w:t xml:space="preserve"> as staff for the Housing and Redevelopment Authority of the Cit</w:t>
      </w:r>
      <w:r w:rsidR="00867B03" w:rsidRPr="002A3ECC">
        <w:rPr>
          <w:rFonts w:ascii="Arial" w:hAnsi="Arial"/>
          <w:sz w:val="22"/>
        </w:rPr>
        <w:t>y of Saint Paul, Minnesota (</w:t>
      </w:r>
      <w:r w:rsidRPr="002A3ECC">
        <w:rPr>
          <w:rFonts w:ascii="Arial" w:hAnsi="Arial"/>
          <w:sz w:val="22"/>
        </w:rPr>
        <w:t>“HRA”)</w:t>
      </w:r>
      <w:r w:rsidR="00612832" w:rsidRPr="002A3ECC">
        <w:rPr>
          <w:rFonts w:ascii="Arial" w:hAnsi="Arial"/>
          <w:sz w:val="22"/>
        </w:rPr>
        <w:t xml:space="preserve">, in each case, </w:t>
      </w:r>
      <w:r w:rsidRPr="002A3ECC">
        <w:rPr>
          <w:rFonts w:ascii="Arial" w:hAnsi="Arial"/>
          <w:sz w:val="22"/>
        </w:rPr>
        <w:t xml:space="preserve">on behalf and at the request of the Board </w:t>
      </w:r>
      <w:r w:rsidR="00140418" w:rsidRPr="002A3ECC">
        <w:rPr>
          <w:rFonts w:ascii="Arial" w:hAnsi="Arial"/>
          <w:sz w:val="22"/>
        </w:rPr>
        <w:t xml:space="preserve">in accordance with the </w:t>
      </w:r>
      <w:r w:rsidRPr="002A3ECC">
        <w:rPr>
          <w:rFonts w:ascii="Arial" w:hAnsi="Arial"/>
          <w:sz w:val="22"/>
        </w:rPr>
        <w:t>procedure</w:t>
      </w:r>
      <w:r w:rsidR="006618B7" w:rsidRPr="002A3ECC">
        <w:rPr>
          <w:rFonts w:ascii="Arial" w:hAnsi="Arial"/>
          <w:sz w:val="22"/>
        </w:rPr>
        <w:t>s</w:t>
      </w:r>
      <w:r w:rsidR="00140418" w:rsidRPr="002A3ECC">
        <w:rPr>
          <w:rFonts w:ascii="Arial" w:hAnsi="Arial"/>
          <w:sz w:val="22"/>
        </w:rPr>
        <w:t xml:space="preserve"> set forth in Section 42 </w:t>
      </w:r>
      <w:r w:rsidRPr="002A3ECC">
        <w:rPr>
          <w:rFonts w:ascii="Arial" w:hAnsi="Arial"/>
          <w:sz w:val="22"/>
        </w:rPr>
        <w:t>of the Code.</w:t>
      </w:r>
    </w:p>
    <w:p w14:paraId="6D82AA2D" w14:textId="77777777" w:rsidR="00140418" w:rsidRDefault="00140418" w:rsidP="00FF2C1A">
      <w:pPr>
        <w:jc w:val="both"/>
        <w:rPr>
          <w:rFonts w:ascii="Arial" w:hAnsi="Arial"/>
          <w:sz w:val="22"/>
        </w:rPr>
      </w:pPr>
    </w:p>
    <w:p w14:paraId="48C77BD4" w14:textId="77777777" w:rsidR="00140418" w:rsidRDefault="00140418" w:rsidP="006F65B0">
      <w:pPr>
        <w:ind w:firstLine="720"/>
        <w:jc w:val="both"/>
        <w:rPr>
          <w:rFonts w:ascii="Arial" w:hAnsi="Arial"/>
          <w:sz w:val="22"/>
        </w:rPr>
      </w:pPr>
      <w:r>
        <w:rPr>
          <w:rFonts w:ascii="Arial" w:hAnsi="Arial"/>
          <w:sz w:val="22"/>
        </w:rPr>
        <w:t xml:space="preserve">This </w:t>
      </w:r>
      <w:r w:rsidR="00E7356A">
        <w:rPr>
          <w:rFonts w:ascii="Arial" w:hAnsi="Arial"/>
          <w:sz w:val="22"/>
        </w:rPr>
        <w:t xml:space="preserve">QAP </w:t>
      </w:r>
      <w:r>
        <w:rPr>
          <w:rFonts w:ascii="Arial" w:hAnsi="Arial"/>
          <w:sz w:val="22"/>
        </w:rPr>
        <w:t>may</w:t>
      </w:r>
      <w:r w:rsidR="005716C1">
        <w:rPr>
          <w:rFonts w:ascii="Arial" w:hAnsi="Arial"/>
          <w:sz w:val="22"/>
        </w:rPr>
        <w:t xml:space="preserve"> </w:t>
      </w:r>
      <w:r>
        <w:rPr>
          <w:rFonts w:ascii="Arial" w:hAnsi="Arial"/>
          <w:sz w:val="22"/>
        </w:rPr>
        <w:t xml:space="preserve">be amended from time to time as new guidelines and regulations are issued </w:t>
      </w:r>
      <w:r w:rsidR="00612832">
        <w:rPr>
          <w:rFonts w:ascii="Arial" w:hAnsi="Arial"/>
          <w:sz w:val="22"/>
        </w:rPr>
        <w:t xml:space="preserve">in connection with </w:t>
      </w:r>
      <w:r>
        <w:rPr>
          <w:rFonts w:ascii="Arial" w:hAnsi="Arial"/>
          <w:sz w:val="22"/>
        </w:rPr>
        <w:t xml:space="preserve">Section 42 of the Code, the Act or </w:t>
      </w:r>
      <w:r w:rsidR="00612832">
        <w:rPr>
          <w:rFonts w:ascii="Arial" w:hAnsi="Arial"/>
          <w:sz w:val="22"/>
        </w:rPr>
        <w:t xml:space="preserve">as </w:t>
      </w:r>
      <w:r>
        <w:rPr>
          <w:rFonts w:ascii="Arial" w:hAnsi="Arial"/>
          <w:sz w:val="22"/>
        </w:rPr>
        <w:t xml:space="preserve">the Board deems necessary </w:t>
      </w:r>
      <w:r w:rsidR="00612832">
        <w:rPr>
          <w:rFonts w:ascii="Arial" w:hAnsi="Arial"/>
          <w:sz w:val="22"/>
        </w:rPr>
        <w:t xml:space="preserve">or desirable to facilitate </w:t>
      </w:r>
      <w:r>
        <w:rPr>
          <w:rFonts w:ascii="Arial" w:hAnsi="Arial"/>
          <w:sz w:val="22"/>
        </w:rPr>
        <w:t xml:space="preserve">the </w:t>
      </w:r>
      <w:r w:rsidR="00612832">
        <w:rPr>
          <w:rFonts w:ascii="Arial" w:hAnsi="Arial"/>
          <w:sz w:val="22"/>
        </w:rPr>
        <w:t xml:space="preserve">public purposes of the </w:t>
      </w:r>
      <w:r>
        <w:rPr>
          <w:rFonts w:ascii="Arial" w:hAnsi="Arial"/>
          <w:sz w:val="22"/>
        </w:rPr>
        <w:t xml:space="preserve">Board’s </w:t>
      </w:r>
      <w:r w:rsidR="00E7356A">
        <w:rPr>
          <w:rFonts w:ascii="Arial" w:hAnsi="Arial"/>
          <w:snapToGrid w:val="0"/>
          <w:sz w:val="22"/>
        </w:rPr>
        <w:t xml:space="preserve">HTC </w:t>
      </w:r>
      <w:r>
        <w:rPr>
          <w:rFonts w:ascii="Arial" w:hAnsi="Arial"/>
          <w:sz w:val="22"/>
        </w:rPr>
        <w:t>Program</w:t>
      </w:r>
      <w:r w:rsidR="008859AB">
        <w:rPr>
          <w:rFonts w:ascii="Arial" w:hAnsi="Arial"/>
          <w:sz w:val="22"/>
        </w:rPr>
        <w:t>.</w:t>
      </w:r>
    </w:p>
    <w:p w14:paraId="27E65B0B" w14:textId="77777777" w:rsidR="00043EEF" w:rsidRDefault="00043EEF">
      <w:pPr>
        <w:rPr>
          <w:rFonts w:ascii="Arial" w:hAnsi="Arial"/>
          <w:sz w:val="22"/>
        </w:rPr>
      </w:pPr>
    </w:p>
    <w:p w14:paraId="4B3F8578" w14:textId="77777777" w:rsidR="001616D4" w:rsidRDefault="001616D4">
      <w:pPr>
        <w:jc w:val="center"/>
        <w:rPr>
          <w:rFonts w:ascii="Arial" w:hAnsi="Arial"/>
          <w:b/>
          <w:sz w:val="22"/>
        </w:rPr>
      </w:pPr>
    </w:p>
    <w:p w14:paraId="5EF02994" w14:textId="77777777" w:rsidR="00043EEF" w:rsidRDefault="00043EEF">
      <w:pPr>
        <w:jc w:val="center"/>
        <w:rPr>
          <w:rFonts w:ascii="Arial" w:hAnsi="Arial"/>
          <w:b/>
          <w:sz w:val="22"/>
        </w:rPr>
      </w:pPr>
      <w:r>
        <w:rPr>
          <w:rFonts w:ascii="Arial" w:hAnsi="Arial"/>
          <w:b/>
          <w:sz w:val="22"/>
        </w:rPr>
        <w:t>ARTICLE III</w:t>
      </w:r>
    </w:p>
    <w:p w14:paraId="3E77FC91" w14:textId="77777777" w:rsidR="00140418" w:rsidRDefault="00140418" w:rsidP="00140418">
      <w:pPr>
        <w:jc w:val="center"/>
        <w:rPr>
          <w:rFonts w:ascii="Arial" w:hAnsi="Arial"/>
          <w:b/>
          <w:sz w:val="22"/>
        </w:rPr>
      </w:pPr>
      <w:r>
        <w:rPr>
          <w:rFonts w:ascii="Arial" w:hAnsi="Arial"/>
          <w:b/>
          <w:sz w:val="22"/>
        </w:rPr>
        <w:t>Definitions</w:t>
      </w:r>
    </w:p>
    <w:p w14:paraId="1C210C70" w14:textId="77777777" w:rsidR="00140418" w:rsidRDefault="00140418" w:rsidP="00140418">
      <w:pPr>
        <w:rPr>
          <w:rFonts w:ascii="Arial" w:hAnsi="Arial"/>
          <w:sz w:val="22"/>
        </w:rPr>
      </w:pPr>
    </w:p>
    <w:p w14:paraId="3AE6DC49" w14:textId="3EF19B73" w:rsidR="00844302" w:rsidRDefault="00140418" w:rsidP="0049390B">
      <w:pPr>
        <w:jc w:val="both"/>
        <w:rPr>
          <w:rFonts w:ascii="Arial" w:hAnsi="Arial"/>
          <w:sz w:val="22"/>
        </w:rPr>
      </w:pPr>
      <w:r>
        <w:rPr>
          <w:rFonts w:ascii="Arial" w:hAnsi="Arial"/>
          <w:sz w:val="22"/>
        </w:rPr>
        <w:tab/>
      </w:r>
      <w:r w:rsidR="00844302">
        <w:rPr>
          <w:rFonts w:ascii="Arial" w:hAnsi="Arial"/>
          <w:sz w:val="22"/>
        </w:rPr>
        <w:t xml:space="preserve">“Application” means the application submitted by an applicant for </w:t>
      </w:r>
      <w:r w:rsidR="00E7356A">
        <w:rPr>
          <w:rFonts w:ascii="Arial" w:hAnsi="Arial"/>
          <w:snapToGrid w:val="0"/>
          <w:sz w:val="22"/>
        </w:rPr>
        <w:t>HTC</w:t>
      </w:r>
      <w:r w:rsidR="00844302">
        <w:rPr>
          <w:rFonts w:ascii="Arial" w:hAnsi="Arial"/>
          <w:sz w:val="22"/>
        </w:rPr>
        <w:t xml:space="preserve">s pursuant to this </w:t>
      </w:r>
      <w:r w:rsidR="00E7356A">
        <w:rPr>
          <w:rFonts w:ascii="Arial" w:hAnsi="Arial"/>
          <w:sz w:val="22"/>
        </w:rPr>
        <w:t>QAP</w:t>
      </w:r>
      <w:r w:rsidR="00844302">
        <w:rPr>
          <w:rFonts w:ascii="Arial" w:hAnsi="Arial"/>
          <w:sz w:val="22"/>
        </w:rPr>
        <w:t xml:space="preserve">, which application shall be submitted </w:t>
      </w:r>
      <w:r w:rsidR="00901DB0">
        <w:rPr>
          <w:rFonts w:ascii="Arial" w:hAnsi="Arial"/>
          <w:sz w:val="22"/>
        </w:rPr>
        <w:t>as described in the Procedural Manual</w:t>
      </w:r>
      <w:r w:rsidR="00844302">
        <w:rPr>
          <w:rFonts w:ascii="Arial" w:hAnsi="Arial"/>
          <w:sz w:val="22"/>
        </w:rPr>
        <w:t>.</w:t>
      </w:r>
    </w:p>
    <w:p w14:paraId="459DADD1" w14:textId="77777777" w:rsidR="00844302" w:rsidRDefault="00844302" w:rsidP="0049390B">
      <w:pPr>
        <w:jc w:val="both"/>
        <w:rPr>
          <w:rFonts w:ascii="Arial" w:hAnsi="Arial"/>
          <w:sz w:val="22"/>
        </w:rPr>
      </w:pPr>
    </w:p>
    <w:p w14:paraId="4D2207D6" w14:textId="77BBBE80" w:rsidR="00140418" w:rsidRDefault="00A03294" w:rsidP="00B95EDF">
      <w:pPr>
        <w:jc w:val="both"/>
        <w:rPr>
          <w:rFonts w:ascii="Arial" w:hAnsi="Arial"/>
          <w:sz w:val="22"/>
        </w:rPr>
      </w:pPr>
      <w:r>
        <w:rPr>
          <w:rFonts w:ascii="Arial" w:hAnsi="Arial"/>
          <w:sz w:val="22"/>
        </w:rPr>
        <w:tab/>
      </w:r>
      <w:r w:rsidR="00140418">
        <w:rPr>
          <w:rFonts w:ascii="Arial" w:hAnsi="Arial"/>
          <w:sz w:val="22"/>
        </w:rPr>
        <w:t xml:space="preserve">“Costs of </w:t>
      </w:r>
      <w:r w:rsidR="00092F9C">
        <w:rPr>
          <w:rFonts w:ascii="Arial" w:hAnsi="Arial"/>
          <w:sz w:val="22"/>
        </w:rPr>
        <w:t>I</w:t>
      </w:r>
      <w:r w:rsidR="00140418">
        <w:rPr>
          <w:rFonts w:ascii="Arial" w:hAnsi="Arial"/>
          <w:sz w:val="22"/>
        </w:rPr>
        <w:t>ntermediaries” mean</w:t>
      </w:r>
      <w:r w:rsidR="00092F9C">
        <w:rPr>
          <w:rFonts w:ascii="Arial" w:hAnsi="Arial"/>
          <w:sz w:val="22"/>
        </w:rPr>
        <w:t>s</w:t>
      </w:r>
      <w:r w:rsidR="00140418">
        <w:rPr>
          <w:rFonts w:ascii="Arial" w:hAnsi="Arial"/>
          <w:sz w:val="22"/>
        </w:rPr>
        <w:t xml:space="preserve"> those costs referred to as “costs of intermediaries” as that phrase is used in Section 42(m)</w:t>
      </w:r>
      <w:r>
        <w:rPr>
          <w:rFonts w:ascii="Arial" w:hAnsi="Arial"/>
          <w:sz w:val="22"/>
        </w:rPr>
        <w:t>(2)</w:t>
      </w:r>
      <w:r w:rsidR="00140418">
        <w:rPr>
          <w:rFonts w:ascii="Arial" w:hAnsi="Arial"/>
          <w:sz w:val="22"/>
        </w:rPr>
        <w:t xml:space="preserve">(B)(iii) of the Code and as may be defined in any regulations promulgated pursuant thereto.  In the absence of federal regulations or rulings to the contrary, such costs shall be </w:t>
      </w:r>
      <w:r>
        <w:rPr>
          <w:rFonts w:ascii="Arial" w:hAnsi="Arial"/>
          <w:sz w:val="22"/>
        </w:rPr>
        <w:t>consistent with Minnesota Housing requirements</w:t>
      </w:r>
      <w:r w:rsidR="00140418">
        <w:rPr>
          <w:rFonts w:ascii="Arial" w:hAnsi="Arial"/>
          <w:sz w:val="22"/>
        </w:rPr>
        <w:t>.</w:t>
      </w:r>
    </w:p>
    <w:p w14:paraId="2D937F93" w14:textId="77777777" w:rsidR="007C7D9C" w:rsidRDefault="007C7D9C" w:rsidP="0049390B">
      <w:pPr>
        <w:jc w:val="both"/>
        <w:rPr>
          <w:rFonts w:ascii="Arial" w:hAnsi="Arial"/>
          <w:sz w:val="22"/>
        </w:rPr>
      </w:pPr>
    </w:p>
    <w:p w14:paraId="0E91F449" w14:textId="2472CE5A" w:rsidR="007C7D9C" w:rsidRDefault="007C7D9C" w:rsidP="0049390B">
      <w:pPr>
        <w:jc w:val="both"/>
        <w:rPr>
          <w:rFonts w:ascii="Arial" w:hAnsi="Arial"/>
          <w:sz w:val="22"/>
        </w:rPr>
      </w:pPr>
      <w:r>
        <w:rPr>
          <w:rFonts w:ascii="Arial" w:hAnsi="Arial"/>
          <w:sz w:val="22"/>
        </w:rPr>
        <w:tab/>
        <w:t>“Declaration” means the Declaration of Land Use Restrictive Covenants entered into by the project owner in connection with agreements to comply with provisions of the Act and Section 42 of the Code.</w:t>
      </w:r>
    </w:p>
    <w:p w14:paraId="63632411" w14:textId="5DF595FF" w:rsidR="00190B05" w:rsidRPr="00775548" w:rsidRDefault="00190B05" w:rsidP="0049390B">
      <w:pPr>
        <w:jc w:val="both"/>
        <w:rPr>
          <w:rFonts w:ascii="Arial" w:hAnsi="Arial"/>
          <w:sz w:val="22"/>
        </w:rPr>
      </w:pPr>
    </w:p>
    <w:p w14:paraId="31885119" w14:textId="4BD2490F" w:rsidR="00190B05" w:rsidRPr="00775548" w:rsidRDefault="00190B05" w:rsidP="0049390B">
      <w:pPr>
        <w:jc w:val="both"/>
        <w:rPr>
          <w:rFonts w:ascii="Arial" w:hAnsi="Arial" w:cs="Arial"/>
          <w:sz w:val="22"/>
          <w:szCs w:val="22"/>
        </w:rPr>
      </w:pPr>
      <w:r w:rsidRPr="00775548">
        <w:rPr>
          <w:rFonts w:ascii="Arial" w:hAnsi="Arial"/>
          <w:sz w:val="22"/>
        </w:rPr>
        <w:tab/>
        <w:t xml:space="preserve">“Delegate” means </w:t>
      </w:r>
      <w:r w:rsidRPr="00775548">
        <w:rPr>
          <w:rFonts w:ascii="Arial" w:hAnsi="Arial" w:cs="Arial"/>
          <w:sz w:val="22"/>
          <w:szCs w:val="22"/>
        </w:rPr>
        <w:t xml:space="preserve">an agent or other private contractor retained by </w:t>
      </w:r>
      <w:r w:rsidR="00092F9C" w:rsidRPr="00775548">
        <w:rPr>
          <w:rFonts w:ascii="Arial" w:hAnsi="Arial" w:cs="Arial"/>
          <w:sz w:val="22"/>
          <w:szCs w:val="22"/>
        </w:rPr>
        <w:t xml:space="preserve">The Board </w:t>
      </w:r>
      <w:r w:rsidRPr="00775548">
        <w:rPr>
          <w:rFonts w:ascii="Arial" w:hAnsi="Arial" w:cs="Arial"/>
          <w:sz w:val="22"/>
          <w:szCs w:val="22"/>
        </w:rPr>
        <w:t>to perform HTC compliance monitoring</w:t>
      </w:r>
      <w:r w:rsidR="005C78EA" w:rsidRPr="00775548">
        <w:rPr>
          <w:rFonts w:ascii="Arial" w:hAnsi="Arial" w:cs="Arial"/>
          <w:sz w:val="22"/>
          <w:szCs w:val="22"/>
        </w:rPr>
        <w:t>.</w:t>
      </w:r>
    </w:p>
    <w:p w14:paraId="10554BBF" w14:textId="77777777" w:rsidR="0049390B" w:rsidRDefault="0049390B" w:rsidP="0049390B">
      <w:pPr>
        <w:jc w:val="both"/>
        <w:rPr>
          <w:rFonts w:ascii="Arial" w:hAnsi="Arial"/>
          <w:sz w:val="22"/>
        </w:rPr>
      </w:pPr>
    </w:p>
    <w:p w14:paraId="33478CD8" w14:textId="77777777" w:rsidR="0049390B" w:rsidRDefault="0049390B" w:rsidP="006869E3">
      <w:pPr>
        <w:jc w:val="both"/>
        <w:rPr>
          <w:rFonts w:ascii="Arial" w:hAnsi="Arial"/>
          <w:sz w:val="22"/>
        </w:rPr>
      </w:pPr>
      <w:r>
        <w:rPr>
          <w:rFonts w:ascii="Arial" w:hAnsi="Arial"/>
          <w:sz w:val="22"/>
        </w:rPr>
        <w:tab/>
        <w:t xml:space="preserve">“Extended Use Period” means the </w:t>
      </w:r>
      <w:proofErr w:type="gramStart"/>
      <w:r>
        <w:rPr>
          <w:rFonts w:ascii="Arial" w:hAnsi="Arial"/>
          <w:sz w:val="22"/>
        </w:rPr>
        <w:t>time period</w:t>
      </w:r>
      <w:proofErr w:type="gramEnd"/>
      <w:r>
        <w:rPr>
          <w:rFonts w:ascii="Arial" w:hAnsi="Arial"/>
          <w:sz w:val="22"/>
        </w:rPr>
        <w:t xml:space="preserve"> set forth in the Declaration of Land Use Restrictive Covenants</w:t>
      </w:r>
      <w:r w:rsidR="00285FCE">
        <w:rPr>
          <w:rFonts w:ascii="Arial" w:hAnsi="Arial"/>
          <w:sz w:val="22"/>
        </w:rPr>
        <w:t xml:space="preserve"> for which </w:t>
      </w:r>
      <w:r>
        <w:rPr>
          <w:rFonts w:ascii="Arial" w:hAnsi="Arial"/>
          <w:sz w:val="22"/>
        </w:rPr>
        <w:t xml:space="preserve">units within a project </w:t>
      </w:r>
      <w:r w:rsidR="00285FCE">
        <w:rPr>
          <w:rFonts w:ascii="Arial" w:hAnsi="Arial"/>
          <w:sz w:val="22"/>
        </w:rPr>
        <w:t xml:space="preserve">must </w:t>
      </w:r>
      <w:r>
        <w:rPr>
          <w:rFonts w:ascii="Arial" w:hAnsi="Arial"/>
          <w:sz w:val="22"/>
        </w:rPr>
        <w:t>comply with Section 42 of the Code.</w:t>
      </w:r>
    </w:p>
    <w:p w14:paraId="66DE1A6E" w14:textId="77777777" w:rsidR="00107CFD" w:rsidRDefault="00107CFD" w:rsidP="0049390B">
      <w:pPr>
        <w:jc w:val="both"/>
        <w:rPr>
          <w:rFonts w:ascii="Arial" w:hAnsi="Arial"/>
          <w:b/>
          <w:sz w:val="22"/>
        </w:rPr>
      </w:pPr>
    </w:p>
    <w:p w14:paraId="382B85B8" w14:textId="379A9939" w:rsidR="00715AC3" w:rsidRDefault="00140418" w:rsidP="0049390B">
      <w:pPr>
        <w:jc w:val="both"/>
        <w:rPr>
          <w:rFonts w:ascii="Arial" w:hAnsi="Arial"/>
          <w:sz w:val="22"/>
        </w:rPr>
      </w:pPr>
      <w:r>
        <w:rPr>
          <w:rFonts w:ascii="Arial" w:hAnsi="Arial"/>
          <w:sz w:val="22"/>
        </w:rPr>
        <w:tab/>
      </w:r>
      <w:r w:rsidR="00715AC3">
        <w:rPr>
          <w:rFonts w:ascii="Arial" w:hAnsi="Arial"/>
          <w:sz w:val="22"/>
        </w:rPr>
        <w:t>“Minimum Set-Aside</w:t>
      </w:r>
      <w:r w:rsidR="00823EE5">
        <w:rPr>
          <w:rFonts w:ascii="Arial" w:hAnsi="Arial"/>
          <w:sz w:val="22"/>
        </w:rPr>
        <w:t xml:space="preserve"> Test</w:t>
      </w:r>
      <w:r w:rsidR="00715AC3">
        <w:rPr>
          <w:rFonts w:ascii="Arial" w:hAnsi="Arial"/>
          <w:sz w:val="22"/>
        </w:rPr>
        <w:t>” refers to the</w:t>
      </w:r>
      <w:r w:rsidR="0093547D">
        <w:rPr>
          <w:rFonts w:ascii="Arial" w:hAnsi="Arial"/>
          <w:sz w:val="22"/>
        </w:rPr>
        <w:t xml:space="preserve"> </w:t>
      </w:r>
      <w:r w:rsidR="00823EE5">
        <w:rPr>
          <w:rFonts w:ascii="Arial" w:hAnsi="Arial"/>
          <w:sz w:val="22"/>
        </w:rPr>
        <w:t xml:space="preserve">options available to meet the minimum set aside test required under Section 42 of the </w:t>
      </w:r>
      <w:r w:rsidR="005D5BBB">
        <w:rPr>
          <w:rFonts w:ascii="Arial" w:hAnsi="Arial"/>
          <w:sz w:val="22"/>
        </w:rPr>
        <w:t>C</w:t>
      </w:r>
      <w:r w:rsidR="00823EE5">
        <w:rPr>
          <w:rFonts w:ascii="Arial" w:hAnsi="Arial"/>
          <w:sz w:val="22"/>
        </w:rPr>
        <w:t>ode:</w:t>
      </w:r>
    </w:p>
    <w:p w14:paraId="38D859AC" w14:textId="51881DA5" w:rsidR="00823EE5" w:rsidRDefault="00823EE5" w:rsidP="00AD4EB3">
      <w:pPr>
        <w:numPr>
          <w:ilvl w:val="0"/>
          <w:numId w:val="4"/>
        </w:numPr>
        <w:jc w:val="both"/>
        <w:rPr>
          <w:rFonts w:ascii="Arial" w:hAnsi="Arial"/>
          <w:sz w:val="22"/>
        </w:rPr>
      </w:pPr>
      <w:r>
        <w:rPr>
          <w:rFonts w:ascii="Arial" w:hAnsi="Arial"/>
          <w:sz w:val="22"/>
        </w:rPr>
        <w:t>20/50 test</w:t>
      </w:r>
    </w:p>
    <w:p w14:paraId="6DE61E47" w14:textId="40FB0F0A" w:rsidR="00823EE5" w:rsidRDefault="00823EE5" w:rsidP="00AD4EB3">
      <w:pPr>
        <w:numPr>
          <w:ilvl w:val="0"/>
          <w:numId w:val="4"/>
        </w:numPr>
        <w:jc w:val="both"/>
        <w:rPr>
          <w:rFonts w:ascii="Arial" w:hAnsi="Arial"/>
          <w:sz w:val="22"/>
        </w:rPr>
      </w:pPr>
      <w:r>
        <w:rPr>
          <w:rFonts w:ascii="Arial" w:hAnsi="Arial"/>
          <w:sz w:val="22"/>
        </w:rPr>
        <w:t>40/60 test</w:t>
      </w:r>
    </w:p>
    <w:p w14:paraId="7A7CBE88" w14:textId="67C87BD6" w:rsidR="00823EE5" w:rsidRDefault="0029626B" w:rsidP="00AD4EB3">
      <w:pPr>
        <w:numPr>
          <w:ilvl w:val="0"/>
          <w:numId w:val="4"/>
        </w:numPr>
        <w:jc w:val="both"/>
        <w:rPr>
          <w:rFonts w:ascii="Arial" w:hAnsi="Arial"/>
          <w:sz w:val="22"/>
        </w:rPr>
      </w:pPr>
      <w:r>
        <w:rPr>
          <w:rFonts w:ascii="Arial" w:hAnsi="Arial"/>
          <w:sz w:val="22"/>
        </w:rPr>
        <w:t>Average Income</w:t>
      </w:r>
      <w:r w:rsidR="00823EE5">
        <w:rPr>
          <w:rFonts w:ascii="Arial" w:hAnsi="Arial"/>
          <w:sz w:val="22"/>
        </w:rPr>
        <w:t xml:space="preserve"> test</w:t>
      </w:r>
    </w:p>
    <w:p w14:paraId="78B5BF54" w14:textId="77777777" w:rsidR="00715AC3" w:rsidRDefault="00715AC3" w:rsidP="0049390B">
      <w:pPr>
        <w:jc w:val="both"/>
        <w:rPr>
          <w:rFonts w:ascii="Arial" w:hAnsi="Arial"/>
          <w:sz w:val="22"/>
        </w:rPr>
      </w:pPr>
    </w:p>
    <w:p w14:paraId="6F79F166" w14:textId="77777777" w:rsidR="00140418" w:rsidRDefault="00140418" w:rsidP="00845F80">
      <w:pPr>
        <w:ind w:firstLine="720"/>
        <w:jc w:val="both"/>
        <w:rPr>
          <w:rFonts w:ascii="Arial" w:hAnsi="Arial"/>
          <w:sz w:val="22"/>
        </w:rPr>
      </w:pPr>
      <w:r>
        <w:rPr>
          <w:rFonts w:ascii="Arial" w:hAnsi="Arial"/>
          <w:sz w:val="22"/>
        </w:rPr>
        <w:t>“Qualified Census Tract” means any qualified census tract as defined in Section 42(d)(5)(C) of the Code.</w:t>
      </w:r>
    </w:p>
    <w:p w14:paraId="342EC7DF" w14:textId="77777777" w:rsidR="008C07BD" w:rsidRDefault="008C07BD" w:rsidP="0049390B">
      <w:pPr>
        <w:jc w:val="both"/>
        <w:rPr>
          <w:rFonts w:ascii="Arial" w:hAnsi="Arial"/>
          <w:sz w:val="22"/>
        </w:rPr>
      </w:pPr>
    </w:p>
    <w:p w14:paraId="01B68C8F" w14:textId="77777777" w:rsidR="0049390B" w:rsidRDefault="0049390B" w:rsidP="004E69C3">
      <w:pPr>
        <w:ind w:firstLine="720"/>
        <w:jc w:val="both"/>
        <w:rPr>
          <w:rFonts w:ascii="Arial" w:hAnsi="Arial"/>
          <w:sz w:val="22"/>
        </w:rPr>
      </w:pPr>
      <w:r>
        <w:rPr>
          <w:rFonts w:ascii="Arial" w:hAnsi="Arial"/>
          <w:sz w:val="22"/>
        </w:rPr>
        <w:t>“Substantial Rehabilitation”</w:t>
      </w:r>
      <w:r w:rsidR="00FA4EF0">
        <w:rPr>
          <w:rFonts w:ascii="Arial" w:hAnsi="Arial"/>
          <w:sz w:val="22"/>
        </w:rPr>
        <w:t xml:space="preserve"> means </w:t>
      </w:r>
      <w:r w:rsidR="00285FCE">
        <w:rPr>
          <w:rFonts w:ascii="Arial" w:hAnsi="Arial"/>
          <w:sz w:val="22"/>
        </w:rPr>
        <w:t xml:space="preserve">a </w:t>
      </w:r>
      <w:r w:rsidR="00FA4EF0">
        <w:rPr>
          <w:rFonts w:ascii="Arial" w:hAnsi="Arial"/>
          <w:sz w:val="22"/>
        </w:rPr>
        <w:t>rehabilitation expen</w:t>
      </w:r>
      <w:r w:rsidR="00285FCE">
        <w:rPr>
          <w:rFonts w:ascii="Arial" w:hAnsi="Arial"/>
          <w:sz w:val="22"/>
        </w:rPr>
        <w:t>d</w:t>
      </w:r>
      <w:r w:rsidR="00FA4EF0">
        <w:rPr>
          <w:rFonts w:ascii="Arial" w:hAnsi="Arial"/>
          <w:sz w:val="22"/>
        </w:rPr>
        <w:t>iture</w:t>
      </w:r>
      <w:r>
        <w:rPr>
          <w:rFonts w:ascii="Arial" w:hAnsi="Arial"/>
          <w:sz w:val="22"/>
        </w:rPr>
        <w:t xml:space="preserve"> equal to </w:t>
      </w:r>
      <w:r w:rsidRPr="0049390B">
        <w:rPr>
          <w:rFonts w:ascii="Arial" w:hAnsi="Arial"/>
          <w:sz w:val="22"/>
        </w:rPr>
        <w:t>the greater of:</w:t>
      </w:r>
    </w:p>
    <w:p w14:paraId="533AF58F" w14:textId="77777777" w:rsidR="0049390B" w:rsidRPr="0049390B" w:rsidRDefault="0049390B" w:rsidP="0049390B">
      <w:pPr>
        <w:jc w:val="both"/>
        <w:rPr>
          <w:rFonts w:ascii="Arial" w:hAnsi="Arial"/>
          <w:sz w:val="22"/>
        </w:rPr>
      </w:pPr>
    </w:p>
    <w:p w14:paraId="17EB3DDB" w14:textId="77777777" w:rsidR="0049390B" w:rsidRPr="0049390B" w:rsidRDefault="005716C1" w:rsidP="006869E3">
      <w:pPr>
        <w:ind w:left="1440"/>
        <w:rPr>
          <w:rFonts w:ascii="Arial" w:hAnsi="Arial"/>
          <w:sz w:val="22"/>
        </w:rPr>
      </w:pPr>
      <w:r>
        <w:rPr>
          <w:rFonts w:ascii="Arial" w:hAnsi="Arial"/>
          <w:sz w:val="22"/>
        </w:rPr>
        <w:t>(</w:t>
      </w:r>
      <w:r w:rsidR="00285FCE">
        <w:rPr>
          <w:rFonts w:ascii="Arial" w:hAnsi="Arial"/>
          <w:sz w:val="22"/>
        </w:rPr>
        <w:t>a</w:t>
      </w:r>
      <w:r>
        <w:rPr>
          <w:rFonts w:ascii="Arial" w:hAnsi="Arial"/>
          <w:sz w:val="22"/>
        </w:rPr>
        <w:t>)</w:t>
      </w:r>
      <w:r w:rsidR="00285FCE">
        <w:rPr>
          <w:rFonts w:ascii="Arial" w:hAnsi="Arial"/>
          <w:sz w:val="22"/>
        </w:rPr>
        <w:t xml:space="preserve">  a</w:t>
      </w:r>
      <w:r w:rsidR="0049390B" w:rsidRPr="0049390B">
        <w:rPr>
          <w:rFonts w:ascii="Arial" w:hAnsi="Arial"/>
          <w:sz w:val="22"/>
        </w:rPr>
        <w:t>n average qualif</w:t>
      </w:r>
      <w:r w:rsidR="00867B03">
        <w:rPr>
          <w:rFonts w:ascii="Arial" w:hAnsi="Arial"/>
          <w:sz w:val="22"/>
        </w:rPr>
        <w:t xml:space="preserve">ied basis amount per HTC </w:t>
      </w:r>
      <w:r w:rsidR="0049390B" w:rsidRPr="0049390B">
        <w:rPr>
          <w:rFonts w:ascii="Arial" w:hAnsi="Arial"/>
          <w:sz w:val="22"/>
        </w:rPr>
        <w:t>unit for a building which meets the inflation adjusted amount published by the IRS annually in accordance with Section 42(e)(3)(D); or</w:t>
      </w:r>
      <w:r w:rsidR="006869E3">
        <w:rPr>
          <w:rFonts w:ascii="Arial" w:hAnsi="Arial"/>
          <w:sz w:val="22"/>
        </w:rPr>
        <w:br/>
      </w:r>
    </w:p>
    <w:p w14:paraId="36B0A8F1" w14:textId="77777777" w:rsidR="0049390B" w:rsidRPr="0049390B" w:rsidRDefault="005716C1" w:rsidP="00285FCE">
      <w:pPr>
        <w:ind w:left="1440"/>
        <w:jc w:val="both"/>
        <w:rPr>
          <w:rFonts w:ascii="Arial" w:hAnsi="Arial"/>
          <w:sz w:val="22"/>
        </w:rPr>
      </w:pPr>
      <w:r>
        <w:rPr>
          <w:rFonts w:ascii="Arial" w:hAnsi="Arial"/>
          <w:sz w:val="22"/>
        </w:rPr>
        <w:t>(</w:t>
      </w:r>
      <w:r w:rsidR="0049390B" w:rsidRPr="0049390B">
        <w:rPr>
          <w:rFonts w:ascii="Arial" w:hAnsi="Arial"/>
          <w:sz w:val="22"/>
        </w:rPr>
        <w:t>b</w:t>
      </w:r>
      <w:r>
        <w:rPr>
          <w:rFonts w:ascii="Arial" w:hAnsi="Arial"/>
          <w:sz w:val="22"/>
        </w:rPr>
        <w:t>)</w:t>
      </w:r>
      <w:r w:rsidR="00285FCE">
        <w:rPr>
          <w:rFonts w:ascii="Arial" w:hAnsi="Arial"/>
          <w:sz w:val="22"/>
        </w:rPr>
        <w:t xml:space="preserve">  a</w:t>
      </w:r>
      <w:r w:rsidR="0049390B" w:rsidRPr="0049390B">
        <w:rPr>
          <w:rFonts w:ascii="Arial" w:hAnsi="Arial"/>
          <w:sz w:val="22"/>
        </w:rPr>
        <w:t>n amount that is not less than 20 percent of the adjusted basis of the building, as determined pursuant to Section 42(e)(3) of the Code.</w:t>
      </w:r>
    </w:p>
    <w:p w14:paraId="324DE9BD" w14:textId="77777777" w:rsidR="0049390B" w:rsidRDefault="0049390B" w:rsidP="0049390B">
      <w:pPr>
        <w:jc w:val="both"/>
        <w:rPr>
          <w:rFonts w:ascii="Arial" w:hAnsi="Arial"/>
          <w:sz w:val="22"/>
        </w:rPr>
      </w:pPr>
    </w:p>
    <w:p w14:paraId="720CB65F" w14:textId="77777777" w:rsidR="0049390B" w:rsidRDefault="0049390B" w:rsidP="00FA4EF0">
      <w:pPr>
        <w:ind w:left="720"/>
        <w:jc w:val="both"/>
        <w:rPr>
          <w:rFonts w:ascii="Arial" w:hAnsi="Arial"/>
          <w:sz w:val="22"/>
        </w:rPr>
      </w:pPr>
      <w:r w:rsidRPr="0049390B">
        <w:rPr>
          <w:rFonts w:ascii="Arial" w:hAnsi="Arial"/>
          <w:sz w:val="22"/>
        </w:rPr>
        <w:t xml:space="preserve">In addition to the </w:t>
      </w:r>
      <w:r w:rsidR="000B2435">
        <w:rPr>
          <w:rFonts w:ascii="Arial" w:hAnsi="Arial"/>
          <w:sz w:val="22"/>
        </w:rPr>
        <w:t xml:space="preserve">Code </w:t>
      </w:r>
      <w:r w:rsidRPr="0049390B">
        <w:rPr>
          <w:rFonts w:ascii="Arial" w:hAnsi="Arial"/>
          <w:sz w:val="22"/>
        </w:rPr>
        <w:t>Section 42(e) requirements, Section 462A.221, Subdivision 5</w:t>
      </w:r>
      <w:r w:rsidR="00285FCE">
        <w:rPr>
          <w:rFonts w:ascii="Arial" w:hAnsi="Arial"/>
          <w:sz w:val="22"/>
        </w:rPr>
        <w:t xml:space="preserve"> of the Act</w:t>
      </w:r>
      <w:r w:rsidRPr="0049390B">
        <w:rPr>
          <w:rFonts w:ascii="Arial" w:hAnsi="Arial"/>
          <w:sz w:val="22"/>
        </w:rPr>
        <w:t xml:space="preserve"> requires rehabilitation expenditures of </w:t>
      </w:r>
      <w:r w:rsidR="00285FCE">
        <w:rPr>
          <w:rFonts w:ascii="Arial" w:hAnsi="Arial"/>
          <w:sz w:val="22"/>
        </w:rPr>
        <w:t xml:space="preserve">at least </w:t>
      </w:r>
      <w:r w:rsidRPr="0049390B">
        <w:rPr>
          <w:rFonts w:ascii="Arial" w:hAnsi="Arial"/>
          <w:sz w:val="22"/>
        </w:rPr>
        <w:t>an average of $5,000 per unit.</w:t>
      </w:r>
    </w:p>
    <w:p w14:paraId="6CBD5BFC" w14:textId="77777777" w:rsidR="00140418" w:rsidRDefault="00140418" w:rsidP="0049390B">
      <w:pPr>
        <w:jc w:val="both"/>
        <w:rPr>
          <w:rFonts w:ascii="Arial" w:hAnsi="Arial"/>
          <w:sz w:val="22"/>
        </w:rPr>
      </w:pPr>
    </w:p>
    <w:p w14:paraId="377ECDF4" w14:textId="681A2558" w:rsidR="00140418" w:rsidRDefault="00140418" w:rsidP="0049390B">
      <w:pPr>
        <w:jc w:val="both"/>
        <w:rPr>
          <w:rFonts w:ascii="Arial" w:hAnsi="Arial"/>
          <w:sz w:val="22"/>
        </w:rPr>
      </w:pPr>
      <w:r>
        <w:rPr>
          <w:rFonts w:ascii="Arial" w:hAnsi="Arial"/>
          <w:sz w:val="22"/>
        </w:rPr>
        <w:tab/>
      </w:r>
    </w:p>
    <w:p w14:paraId="16AB45B7" w14:textId="77777777" w:rsidR="00775548" w:rsidRDefault="00775548">
      <w:pPr>
        <w:jc w:val="center"/>
        <w:rPr>
          <w:rFonts w:ascii="Arial" w:hAnsi="Arial"/>
          <w:b/>
          <w:sz w:val="22"/>
        </w:rPr>
      </w:pPr>
    </w:p>
    <w:p w14:paraId="4FBFB643" w14:textId="7285EB92" w:rsidR="00043EEF" w:rsidRDefault="00792128">
      <w:pPr>
        <w:jc w:val="center"/>
        <w:rPr>
          <w:rFonts w:ascii="Arial" w:hAnsi="Arial"/>
          <w:b/>
          <w:sz w:val="22"/>
        </w:rPr>
      </w:pPr>
      <w:r>
        <w:rPr>
          <w:rFonts w:ascii="Arial" w:hAnsi="Arial"/>
          <w:b/>
          <w:sz w:val="22"/>
        </w:rPr>
        <w:t>A</w:t>
      </w:r>
      <w:r w:rsidR="003C551A">
        <w:rPr>
          <w:rFonts w:ascii="Arial" w:hAnsi="Arial"/>
          <w:b/>
          <w:sz w:val="22"/>
        </w:rPr>
        <w:t>RTICLE IV</w:t>
      </w:r>
      <w:r>
        <w:rPr>
          <w:rFonts w:ascii="Arial" w:hAnsi="Arial"/>
          <w:b/>
          <w:sz w:val="22"/>
        </w:rPr>
        <w:br/>
      </w:r>
      <w:r w:rsidR="00043EEF">
        <w:rPr>
          <w:rFonts w:ascii="Arial" w:hAnsi="Arial"/>
          <w:b/>
          <w:sz w:val="22"/>
        </w:rPr>
        <w:t>General Concepts</w:t>
      </w:r>
    </w:p>
    <w:p w14:paraId="08C0161D" w14:textId="77777777" w:rsidR="00043EEF" w:rsidRDefault="00043EEF" w:rsidP="00FA4EF0">
      <w:pPr>
        <w:jc w:val="both"/>
        <w:rPr>
          <w:rFonts w:ascii="Arial" w:hAnsi="Arial"/>
          <w:sz w:val="22"/>
        </w:rPr>
      </w:pPr>
    </w:p>
    <w:p w14:paraId="4C1D0DFB" w14:textId="0CAAFCBD" w:rsidR="00043EEF" w:rsidRPr="002A3ECC" w:rsidRDefault="00043EEF" w:rsidP="00FA4EF0">
      <w:pPr>
        <w:tabs>
          <w:tab w:val="decimal" w:pos="720"/>
          <w:tab w:val="left" w:pos="1260"/>
        </w:tabs>
        <w:jc w:val="both"/>
        <w:rPr>
          <w:rFonts w:ascii="Arial" w:hAnsi="Arial"/>
          <w:sz w:val="22"/>
        </w:rPr>
      </w:pPr>
      <w:r>
        <w:rPr>
          <w:rFonts w:ascii="Arial" w:hAnsi="Arial"/>
          <w:sz w:val="22"/>
        </w:rPr>
        <w:tab/>
        <w:t>A.</w:t>
      </w:r>
      <w:r>
        <w:rPr>
          <w:rFonts w:ascii="Arial" w:hAnsi="Arial"/>
          <w:sz w:val="22"/>
        </w:rPr>
        <w:tab/>
      </w:r>
      <w:r w:rsidR="00FA4EF0" w:rsidRPr="00FA4EF0">
        <w:rPr>
          <w:rFonts w:ascii="Arial" w:hAnsi="Arial"/>
          <w:sz w:val="22"/>
        </w:rPr>
        <w:t xml:space="preserve">This </w:t>
      </w:r>
      <w:r w:rsidR="008C07BD">
        <w:rPr>
          <w:rFonts w:ascii="Arial" w:hAnsi="Arial"/>
          <w:sz w:val="22"/>
        </w:rPr>
        <w:t xml:space="preserve">QAP </w:t>
      </w:r>
      <w:r w:rsidR="00FA4EF0" w:rsidRPr="00FA4EF0">
        <w:rPr>
          <w:rFonts w:ascii="Arial" w:hAnsi="Arial"/>
          <w:sz w:val="22"/>
        </w:rPr>
        <w:t xml:space="preserve">sets forth selection </w:t>
      </w:r>
      <w:r w:rsidR="00FA4EF0" w:rsidRPr="002A3ECC">
        <w:rPr>
          <w:rFonts w:ascii="Arial" w:hAnsi="Arial"/>
          <w:sz w:val="22"/>
        </w:rPr>
        <w:t xml:space="preserve">criteria </w:t>
      </w:r>
      <w:r w:rsidR="00C37583" w:rsidRPr="002A3ECC">
        <w:rPr>
          <w:rFonts w:ascii="Arial" w:hAnsi="Arial"/>
          <w:sz w:val="22"/>
        </w:rPr>
        <w:t>that</w:t>
      </w:r>
      <w:r w:rsidR="00FA4EF0" w:rsidRPr="002A3ECC">
        <w:rPr>
          <w:rFonts w:ascii="Arial" w:hAnsi="Arial"/>
          <w:sz w:val="22"/>
        </w:rPr>
        <w:t xml:space="preserve"> reflect the housing policies of the Board and will be used to determine the priorities for the allocation of HTC </w:t>
      </w:r>
      <w:r w:rsidR="00792128" w:rsidRPr="002A3ECC">
        <w:rPr>
          <w:rFonts w:ascii="Arial" w:hAnsi="Arial"/>
          <w:sz w:val="22"/>
        </w:rPr>
        <w:t xml:space="preserve">for rental housing developed </w:t>
      </w:r>
      <w:r w:rsidR="00FA4EF0" w:rsidRPr="002A3ECC">
        <w:rPr>
          <w:rFonts w:ascii="Arial" w:hAnsi="Arial"/>
          <w:sz w:val="22"/>
        </w:rPr>
        <w:t xml:space="preserve">within the Cities of Minneapolis and </w:t>
      </w:r>
      <w:r w:rsidR="00151B30" w:rsidRPr="002A3ECC">
        <w:rPr>
          <w:rFonts w:ascii="Arial" w:hAnsi="Arial"/>
          <w:sz w:val="22"/>
        </w:rPr>
        <w:t>Saint</w:t>
      </w:r>
      <w:r w:rsidR="00FA4EF0" w:rsidRPr="002A3ECC">
        <w:rPr>
          <w:rFonts w:ascii="Arial" w:hAnsi="Arial"/>
          <w:sz w:val="22"/>
        </w:rPr>
        <w:t xml:space="preserve"> Paul.  This </w:t>
      </w:r>
      <w:r w:rsidR="008C07BD" w:rsidRPr="002A3ECC">
        <w:rPr>
          <w:rFonts w:ascii="Arial" w:hAnsi="Arial"/>
          <w:sz w:val="22"/>
        </w:rPr>
        <w:t xml:space="preserve">QAP </w:t>
      </w:r>
      <w:r w:rsidR="00867B03" w:rsidRPr="002A3ECC">
        <w:rPr>
          <w:rFonts w:ascii="Arial" w:hAnsi="Arial"/>
          <w:sz w:val="22"/>
        </w:rPr>
        <w:t>incorporates the three (3) statutory</w:t>
      </w:r>
      <w:r w:rsidR="00FA4EF0" w:rsidRPr="002A3ECC">
        <w:rPr>
          <w:rFonts w:ascii="Arial" w:hAnsi="Arial"/>
          <w:sz w:val="22"/>
        </w:rPr>
        <w:t xml:space="preserve"> preferences</w:t>
      </w:r>
      <w:r w:rsidR="00792128" w:rsidRPr="002A3ECC">
        <w:rPr>
          <w:rFonts w:ascii="Arial" w:hAnsi="Arial"/>
          <w:sz w:val="22"/>
        </w:rPr>
        <w:t xml:space="preserve">, </w:t>
      </w:r>
      <w:r w:rsidR="00FA4EF0" w:rsidRPr="002A3ECC">
        <w:rPr>
          <w:rFonts w:ascii="Arial" w:hAnsi="Arial"/>
          <w:sz w:val="22"/>
        </w:rPr>
        <w:t>as required by Section 42</w:t>
      </w:r>
      <w:r w:rsidR="00792128" w:rsidRPr="002A3ECC">
        <w:rPr>
          <w:rFonts w:ascii="Arial" w:hAnsi="Arial"/>
          <w:sz w:val="22"/>
        </w:rPr>
        <w:t xml:space="preserve"> of the Code,</w:t>
      </w:r>
      <w:r w:rsidR="008C07BD" w:rsidRPr="002A3ECC">
        <w:rPr>
          <w:rFonts w:ascii="Arial" w:hAnsi="Arial"/>
          <w:sz w:val="22"/>
        </w:rPr>
        <w:t xml:space="preserve"> in allocating </w:t>
      </w:r>
      <w:r w:rsidR="00FA4EF0" w:rsidRPr="002A3ECC">
        <w:rPr>
          <w:rFonts w:ascii="Arial" w:hAnsi="Arial"/>
          <w:sz w:val="22"/>
        </w:rPr>
        <w:t xml:space="preserve">HTC </w:t>
      </w:r>
      <w:r w:rsidR="00792128" w:rsidRPr="002A3ECC">
        <w:rPr>
          <w:rFonts w:ascii="Arial" w:hAnsi="Arial"/>
          <w:sz w:val="22"/>
        </w:rPr>
        <w:t>to those</w:t>
      </w:r>
      <w:r w:rsidR="006F65B0" w:rsidRPr="002A3ECC">
        <w:rPr>
          <w:rFonts w:ascii="Arial" w:hAnsi="Arial"/>
          <w:sz w:val="22"/>
        </w:rPr>
        <w:t xml:space="preserve"> </w:t>
      </w:r>
      <w:r w:rsidR="00792128" w:rsidRPr="002A3ECC">
        <w:rPr>
          <w:rFonts w:ascii="Arial" w:hAnsi="Arial"/>
          <w:sz w:val="22"/>
        </w:rPr>
        <w:t>projects</w:t>
      </w:r>
      <w:r w:rsidR="006F65B0" w:rsidRPr="002A3ECC">
        <w:rPr>
          <w:rFonts w:ascii="Arial" w:hAnsi="Arial"/>
          <w:sz w:val="22"/>
        </w:rPr>
        <w:t>:</w:t>
      </w:r>
    </w:p>
    <w:p w14:paraId="11AE3FE9" w14:textId="77777777" w:rsidR="006F65B0" w:rsidRPr="002A3ECC" w:rsidRDefault="006F65B0" w:rsidP="00FA4EF0">
      <w:pPr>
        <w:tabs>
          <w:tab w:val="decimal" w:pos="720"/>
          <w:tab w:val="left" w:pos="1260"/>
        </w:tabs>
        <w:jc w:val="both"/>
        <w:rPr>
          <w:rFonts w:ascii="Arial" w:hAnsi="Arial"/>
          <w:sz w:val="22"/>
        </w:rPr>
      </w:pPr>
    </w:p>
    <w:p w14:paraId="64D68C6F" w14:textId="77777777" w:rsidR="00043EEF" w:rsidRDefault="006F65B0">
      <w:pPr>
        <w:tabs>
          <w:tab w:val="decimal" w:pos="1440"/>
          <w:tab w:val="left" w:pos="1980"/>
        </w:tabs>
        <w:rPr>
          <w:rFonts w:ascii="Arial" w:hAnsi="Arial"/>
          <w:sz w:val="22"/>
        </w:rPr>
      </w:pPr>
      <w:r w:rsidRPr="002A3ECC">
        <w:rPr>
          <w:rFonts w:ascii="Arial" w:hAnsi="Arial"/>
          <w:sz w:val="22"/>
        </w:rPr>
        <w:tab/>
        <w:t>(1)</w:t>
      </w:r>
      <w:r w:rsidRPr="002A3ECC">
        <w:rPr>
          <w:rFonts w:ascii="Arial" w:hAnsi="Arial"/>
          <w:sz w:val="22"/>
        </w:rPr>
        <w:tab/>
      </w:r>
      <w:r w:rsidR="00C3553E" w:rsidRPr="002A3ECC">
        <w:rPr>
          <w:rFonts w:ascii="Arial" w:hAnsi="Arial"/>
          <w:sz w:val="22"/>
        </w:rPr>
        <w:t xml:space="preserve">for which the project owner agrees to </w:t>
      </w:r>
      <w:r w:rsidRPr="002A3ECC">
        <w:rPr>
          <w:rFonts w:ascii="Arial" w:hAnsi="Arial"/>
          <w:sz w:val="22"/>
        </w:rPr>
        <w:t>s</w:t>
      </w:r>
      <w:r w:rsidR="00C3553E" w:rsidRPr="002A3ECC">
        <w:rPr>
          <w:rFonts w:ascii="Arial" w:hAnsi="Arial"/>
          <w:sz w:val="22"/>
        </w:rPr>
        <w:t>erve</w:t>
      </w:r>
      <w:r w:rsidR="00043EEF" w:rsidRPr="002A3ECC">
        <w:rPr>
          <w:rFonts w:ascii="Arial" w:hAnsi="Arial"/>
          <w:sz w:val="22"/>
        </w:rPr>
        <w:t xml:space="preserve"> the lowest income </w:t>
      </w:r>
      <w:proofErr w:type="gramStart"/>
      <w:r w:rsidR="00043EEF" w:rsidRPr="002A3ECC">
        <w:rPr>
          <w:rFonts w:ascii="Arial" w:hAnsi="Arial"/>
          <w:sz w:val="22"/>
        </w:rPr>
        <w:t>tenants</w:t>
      </w:r>
      <w:r w:rsidR="008F4C4E" w:rsidRPr="002A3ECC">
        <w:rPr>
          <w:rFonts w:ascii="Arial" w:hAnsi="Arial"/>
          <w:sz w:val="22"/>
        </w:rPr>
        <w:t>;</w:t>
      </w:r>
      <w:proofErr w:type="gramEnd"/>
    </w:p>
    <w:p w14:paraId="15D66069" w14:textId="77777777" w:rsidR="00043EEF" w:rsidRDefault="00C3553E">
      <w:pPr>
        <w:rPr>
          <w:rFonts w:ascii="Arial" w:hAnsi="Arial"/>
          <w:sz w:val="22"/>
        </w:rPr>
      </w:pPr>
      <w:r>
        <w:rPr>
          <w:rFonts w:ascii="Arial" w:hAnsi="Arial"/>
          <w:sz w:val="22"/>
        </w:rPr>
        <w:t xml:space="preserve"> </w:t>
      </w:r>
    </w:p>
    <w:p w14:paraId="5C3D46B4" w14:textId="77777777" w:rsidR="00043EEF" w:rsidRDefault="006F65B0">
      <w:pPr>
        <w:pStyle w:val="BodyTextIndent"/>
        <w:rPr>
          <w:rFonts w:ascii="Arial" w:hAnsi="Arial"/>
          <w:sz w:val="22"/>
        </w:rPr>
      </w:pPr>
      <w:r>
        <w:rPr>
          <w:rFonts w:ascii="Arial" w:hAnsi="Arial"/>
          <w:sz w:val="22"/>
        </w:rPr>
        <w:tab/>
        <w:t>(2)</w:t>
      </w:r>
      <w:r>
        <w:rPr>
          <w:rFonts w:ascii="Arial" w:hAnsi="Arial"/>
          <w:sz w:val="22"/>
        </w:rPr>
        <w:tab/>
      </w:r>
      <w:r w:rsidR="00C3553E">
        <w:rPr>
          <w:rFonts w:ascii="Arial" w:hAnsi="Arial"/>
          <w:sz w:val="22"/>
        </w:rPr>
        <w:t xml:space="preserve">for which the project owner agrees to </w:t>
      </w:r>
      <w:r w:rsidR="00043EEF">
        <w:rPr>
          <w:rFonts w:ascii="Arial" w:hAnsi="Arial"/>
          <w:sz w:val="22"/>
        </w:rPr>
        <w:t>serve qualified tenants for the longest periods</w:t>
      </w:r>
      <w:r w:rsidR="008F4C4E">
        <w:rPr>
          <w:rFonts w:ascii="Arial" w:hAnsi="Arial"/>
          <w:sz w:val="22"/>
        </w:rPr>
        <w:t>;</w:t>
      </w:r>
      <w:r w:rsidR="00043EEF">
        <w:rPr>
          <w:rFonts w:ascii="Arial" w:hAnsi="Arial"/>
          <w:sz w:val="22"/>
        </w:rPr>
        <w:t xml:space="preserve"> and</w:t>
      </w:r>
    </w:p>
    <w:p w14:paraId="35CE47D3" w14:textId="77777777" w:rsidR="00043EEF" w:rsidRDefault="00043EEF">
      <w:pPr>
        <w:rPr>
          <w:rFonts w:ascii="Arial" w:hAnsi="Arial"/>
          <w:sz w:val="22"/>
        </w:rPr>
      </w:pPr>
    </w:p>
    <w:p w14:paraId="45A63ABA" w14:textId="16AE8939" w:rsidR="00043EEF" w:rsidRPr="0031633A" w:rsidRDefault="006F65B0">
      <w:pPr>
        <w:pStyle w:val="BodyTextIndent"/>
        <w:rPr>
          <w:rFonts w:ascii="Arial" w:hAnsi="Arial"/>
          <w:color w:val="FF0000"/>
          <w:sz w:val="22"/>
        </w:rPr>
      </w:pPr>
      <w:r>
        <w:rPr>
          <w:rFonts w:ascii="Arial" w:hAnsi="Arial"/>
          <w:sz w:val="22"/>
        </w:rPr>
        <w:tab/>
        <w:t>(3)</w:t>
      </w:r>
      <w:r>
        <w:rPr>
          <w:rFonts w:ascii="Arial" w:hAnsi="Arial"/>
          <w:sz w:val="22"/>
        </w:rPr>
        <w:tab/>
      </w:r>
      <w:r w:rsidR="00C3553E">
        <w:rPr>
          <w:rFonts w:ascii="Arial" w:hAnsi="Arial"/>
          <w:sz w:val="22"/>
        </w:rPr>
        <w:t xml:space="preserve">which </w:t>
      </w:r>
      <w:proofErr w:type="gramStart"/>
      <w:r>
        <w:rPr>
          <w:rFonts w:ascii="Arial" w:hAnsi="Arial"/>
          <w:sz w:val="22"/>
        </w:rPr>
        <w:t xml:space="preserve">are </w:t>
      </w:r>
      <w:r w:rsidR="00A965FA">
        <w:rPr>
          <w:rFonts w:ascii="Arial" w:hAnsi="Arial"/>
          <w:sz w:val="22"/>
        </w:rPr>
        <w:t>located in</w:t>
      </w:r>
      <w:proofErr w:type="gramEnd"/>
      <w:r w:rsidR="00C41A6A">
        <w:rPr>
          <w:rFonts w:ascii="Arial" w:hAnsi="Arial"/>
          <w:sz w:val="22"/>
        </w:rPr>
        <w:t xml:space="preserve"> a </w:t>
      </w:r>
      <w:r w:rsidR="0034252E">
        <w:rPr>
          <w:rFonts w:ascii="Arial" w:hAnsi="Arial"/>
          <w:sz w:val="22"/>
        </w:rPr>
        <w:t>Qualified Census Tract</w:t>
      </w:r>
      <w:r w:rsidR="00867B03">
        <w:rPr>
          <w:rFonts w:ascii="Arial" w:hAnsi="Arial"/>
          <w:sz w:val="22"/>
        </w:rPr>
        <w:t xml:space="preserve"> </w:t>
      </w:r>
      <w:r>
        <w:rPr>
          <w:rFonts w:ascii="Arial" w:hAnsi="Arial"/>
          <w:sz w:val="22"/>
        </w:rPr>
        <w:t xml:space="preserve">and </w:t>
      </w:r>
      <w:r w:rsidR="00214578">
        <w:rPr>
          <w:rFonts w:ascii="Arial" w:hAnsi="Arial"/>
          <w:sz w:val="22"/>
        </w:rPr>
        <w:t xml:space="preserve">contribute </w:t>
      </w:r>
      <w:r w:rsidR="00A965FA">
        <w:rPr>
          <w:rFonts w:ascii="Arial" w:hAnsi="Arial"/>
          <w:sz w:val="22"/>
        </w:rPr>
        <w:t xml:space="preserve">to </w:t>
      </w:r>
      <w:r w:rsidR="00C41A6A">
        <w:rPr>
          <w:rFonts w:ascii="Arial" w:hAnsi="Arial"/>
          <w:sz w:val="22"/>
        </w:rPr>
        <w:t xml:space="preserve">a </w:t>
      </w:r>
      <w:r w:rsidR="0031633A">
        <w:rPr>
          <w:rFonts w:ascii="Arial" w:hAnsi="Arial"/>
          <w:sz w:val="22"/>
        </w:rPr>
        <w:t>“</w:t>
      </w:r>
      <w:r w:rsidR="00A965FA">
        <w:rPr>
          <w:rFonts w:ascii="Arial" w:hAnsi="Arial"/>
          <w:sz w:val="22"/>
        </w:rPr>
        <w:t>concerted community revitalization plan</w:t>
      </w:r>
      <w:r w:rsidR="00043EEF">
        <w:rPr>
          <w:rFonts w:ascii="Arial" w:hAnsi="Arial"/>
          <w:sz w:val="22"/>
        </w:rPr>
        <w:t>.</w:t>
      </w:r>
      <w:r w:rsidR="0031633A">
        <w:rPr>
          <w:rFonts w:ascii="Arial" w:hAnsi="Arial"/>
          <w:sz w:val="22"/>
        </w:rPr>
        <w:t>”</w:t>
      </w:r>
      <w:r w:rsidR="007A149E">
        <w:rPr>
          <w:rFonts w:ascii="Arial" w:hAnsi="Arial"/>
          <w:sz w:val="22"/>
        </w:rPr>
        <w:t xml:space="preserve">  </w:t>
      </w:r>
    </w:p>
    <w:p w14:paraId="1527B994" w14:textId="77777777" w:rsidR="00503DFD" w:rsidRDefault="00503DFD">
      <w:pPr>
        <w:pStyle w:val="BodyTextIndent2"/>
        <w:ind w:left="0" w:firstLine="0"/>
        <w:rPr>
          <w:rFonts w:ascii="Arial" w:hAnsi="Arial"/>
          <w:sz w:val="22"/>
        </w:rPr>
      </w:pPr>
    </w:p>
    <w:p w14:paraId="30072B99" w14:textId="77777777" w:rsidR="00043EEF" w:rsidRDefault="00043EEF">
      <w:pPr>
        <w:pStyle w:val="BodyTextIndent2"/>
        <w:ind w:left="0" w:firstLine="0"/>
        <w:rPr>
          <w:rFonts w:ascii="Arial" w:hAnsi="Arial"/>
          <w:sz w:val="22"/>
        </w:rPr>
      </w:pPr>
      <w:r>
        <w:rPr>
          <w:rFonts w:ascii="Arial" w:hAnsi="Arial"/>
          <w:sz w:val="22"/>
        </w:rPr>
        <w:tab/>
        <w:t>B.</w:t>
      </w:r>
      <w:r>
        <w:rPr>
          <w:rFonts w:ascii="Arial" w:hAnsi="Arial"/>
          <w:sz w:val="22"/>
        </w:rPr>
        <w:tab/>
        <w:t>The following factors required</w:t>
      </w:r>
      <w:r w:rsidR="00C3553E">
        <w:rPr>
          <w:rFonts w:ascii="Arial" w:hAnsi="Arial"/>
          <w:sz w:val="22"/>
        </w:rPr>
        <w:t xml:space="preserve"> pursuant to </w:t>
      </w:r>
      <w:r>
        <w:rPr>
          <w:rFonts w:ascii="Arial" w:hAnsi="Arial"/>
          <w:sz w:val="22"/>
        </w:rPr>
        <w:t>Section 42(m)(1)(C) of the Code have been incorporated into the selection criteria</w:t>
      </w:r>
      <w:r w:rsidR="006F65B0">
        <w:rPr>
          <w:rFonts w:ascii="Arial" w:hAnsi="Arial"/>
          <w:sz w:val="22"/>
        </w:rPr>
        <w:t xml:space="preserve"> </w:t>
      </w:r>
      <w:r w:rsidR="00C3553E">
        <w:rPr>
          <w:rFonts w:ascii="Arial" w:hAnsi="Arial"/>
          <w:sz w:val="22"/>
        </w:rPr>
        <w:t xml:space="preserve">to be used </w:t>
      </w:r>
      <w:r w:rsidR="006F65B0">
        <w:rPr>
          <w:rFonts w:ascii="Arial" w:hAnsi="Arial"/>
          <w:sz w:val="22"/>
        </w:rPr>
        <w:t xml:space="preserve">to allocate </w:t>
      </w:r>
      <w:r w:rsidR="008C07BD">
        <w:rPr>
          <w:rFonts w:ascii="Arial" w:hAnsi="Arial"/>
          <w:snapToGrid w:val="0"/>
          <w:sz w:val="22"/>
        </w:rPr>
        <w:t>HTC</w:t>
      </w:r>
      <w:r w:rsidR="00C3553E">
        <w:rPr>
          <w:rFonts w:ascii="Arial" w:hAnsi="Arial"/>
          <w:sz w:val="22"/>
        </w:rPr>
        <w:t>s</w:t>
      </w:r>
      <w:r>
        <w:rPr>
          <w:rFonts w:ascii="Arial" w:hAnsi="Arial"/>
          <w:sz w:val="22"/>
        </w:rPr>
        <w:t>:</w:t>
      </w:r>
    </w:p>
    <w:p w14:paraId="1E205557" w14:textId="77777777" w:rsidR="00043EEF" w:rsidRDefault="00043EEF">
      <w:pPr>
        <w:rPr>
          <w:rFonts w:ascii="Arial" w:hAnsi="Arial"/>
          <w:sz w:val="22"/>
        </w:rPr>
      </w:pPr>
    </w:p>
    <w:p w14:paraId="5976AC64" w14:textId="77777777" w:rsidR="00043EEF" w:rsidRDefault="00043EEF">
      <w:pPr>
        <w:tabs>
          <w:tab w:val="decimal" w:pos="1440"/>
          <w:tab w:val="left" w:pos="1980"/>
        </w:tabs>
        <w:rPr>
          <w:rFonts w:ascii="Arial" w:hAnsi="Arial"/>
          <w:sz w:val="22"/>
        </w:rPr>
      </w:pPr>
      <w:r>
        <w:rPr>
          <w:rFonts w:ascii="Arial" w:hAnsi="Arial"/>
          <w:sz w:val="22"/>
        </w:rPr>
        <w:tab/>
        <w:t>(1)</w:t>
      </w:r>
      <w:r>
        <w:rPr>
          <w:rFonts w:ascii="Arial" w:hAnsi="Arial"/>
          <w:sz w:val="22"/>
        </w:rPr>
        <w:tab/>
        <w:t xml:space="preserve">project </w:t>
      </w:r>
      <w:proofErr w:type="gramStart"/>
      <w:r>
        <w:rPr>
          <w:rFonts w:ascii="Arial" w:hAnsi="Arial"/>
          <w:sz w:val="22"/>
        </w:rPr>
        <w:t>location;</w:t>
      </w:r>
      <w:proofErr w:type="gramEnd"/>
    </w:p>
    <w:p w14:paraId="38C0649A" w14:textId="77777777" w:rsidR="00043EEF" w:rsidRDefault="00043EEF">
      <w:pPr>
        <w:rPr>
          <w:rFonts w:ascii="Arial" w:hAnsi="Arial"/>
          <w:sz w:val="22"/>
        </w:rPr>
      </w:pPr>
    </w:p>
    <w:p w14:paraId="47E02D7B" w14:textId="77777777" w:rsidR="00043EEF" w:rsidRDefault="00043EEF">
      <w:pPr>
        <w:tabs>
          <w:tab w:val="decimal" w:pos="1440"/>
          <w:tab w:val="left" w:pos="1980"/>
        </w:tabs>
        <w:rPr>
          <w:rFonts w:ascii="Arial" w:hAnsi="Arial"/>
          <w:sz w:val="22"/>
        </w:rPr>
      </w:pPr>
      <w:r>
        <w:rPr>
          <w:rFonts w:ascii="Arial" w:hAnsi="Arial"/>
          <w:sz w:val="22"/>
        </w:rPr>
        <w:tab/>
        <w:t>(2)</w:t>
      </w:r>
      <w:r>
        <w:rPr>
          <w:rFonts w:ascii="Arial" w:hAnsi="Arial"/>
          <w:sz w:val="22"/>
        </w:rPr>
        <w:tab/>
        <w:t xml:space="preserve">housing needs </w:t>
      </w:r>
      <w:proofErr w:type="gramStart"/>
      <w:r>
        <w:rPr>
          <w:rFonts w:ascii="Arial" w:hAnsi="Arial"/>
          <w:sz w:val="22"/>
        </w:rPr>
        <w:t>characteristics;</w:t>
      </w:r>
      <w:proofErr w:type="gramEnd"/>
    </w:p>
    <w:p w14:paraId="7E3D90BC" w14:textId="77777777" w:rsidR="00043EEF" w:rsidRDefault="00043EEF">
      <w:pPr>
        <w:rPr>
          <w:rFonts w:ascii="Arial" w:hAnsi="Arial"/>
          <w:sz w:val="22"/>
        </w:rPr>
      </w:pPr>
    </w:p>
    <w:p w14:paraId="1AE68053" w14:textId="77777777" w:rsidR="00043EEF" w:rsidRDefault="00043EEF">
      <w:pPr>
        <w:tabs>
          <w:tab w:val="decimal" w:pos="1440"/>
          <w:tab w:val="left" w:pos="1980"/>
        </w:tabs>
        <w:rPr>
          <w:rFonts w:ascii="Arial" w:hAnsi="Arial"/>
          <w:sz w:val="22"/>
        </w:rPr>
      </w:pPr>
      <w:r>
        <w:rPr>
          <w:rFonts w:ascii="Arial" w:hAnsi="Arial"/>
          <w:sz w:val="22"/>
        </w:rPr>
        <w:tab/>
        <w:t>(3)</w:t>
      </w:r>
      <w:r>
        <w:rPr>
          <w:rFonts w:ascii="Arial" w:hAnsi="Arial"/>
          <w:sz w:val="22"/>
        </w:rPr>
        <w:tab/>
        <w:t xml:space="preserve">project </w:t>
      </w:r>
      <w:proofErr w:type="gramStart"/>
      <w:r>
        <w:rPr>
          <w:rFonts w:ascii="Arial" w:hAnsi="Arial"/>
          <w:sz w:val="22"/>
        </w:rPr>
        <w:t>characteristics;</w:t>
      </w:r>
      <w:proofErr w:type="gramEnd"/>
    </w:p>
    <w:p w14:paraId="17D5A5BB" w14:textId="77777777" w:rsidR="00043EEF" w:rsidRDefault="00043EEF">
      <w:pPr>
        <w:rPr>
          <w:rFonts w:ascii="Arial" w:hAnsi="Arial"/>
          <w:sz w:val="22"/>
        </w:rPr>
      </w:pPr>
    </w:p>
    <w:p w14:paraId="7A43A589" w14:textId="77777777" w:rsidR="00043EEF" w:rsidRDefault="00043EEF">
      <w:pPr>
        <w:tabs>
          <w:tab w:val="decimal" w:pos="1440"/>
          <w:tab w:val="left" w:pos="1980"/>
        </w:tabs>
        <w:rPr>
          <w:rFonts w:ascii="Arial" w:hAnsi="Arial"/>
          <w:sz w:val="22"/>
        </w:rPr>
      </w:pPr>
      <w:r>
        <w:rPr>
          <w:rFonts w:ascii="Arial" w:hAnsi="Arial"/>
          <w:sz w:val="22"/>
        </w:rPr>
        <w:tab/>
        <w:t>(4)</w:t>
      </w:r>
      <w:r>
        <w:rPr>
          <w:rFonts w:ascii="Arial" w:hAnsi="Arial"/>
          <w:sz w:val="22"/>
        </w:rPr>
        <w:tab/>
        <w:t xml:space="preserve">sponsor </w:t>
      </w:r>
      <w:proofErr w:type="gramStart"/>
      <w:r>
        <w:rPr>
          <w:rFonts w:ascii="Arial" w:hAnsi="Arial"/>
          <w:sz w:val="22"/>
        </w:rPr>
        <w:t>characteristics;</w:t>
      </w:r>
      <w:proofErr w:type="gramEnd"/>
    </w:p>
    <w:p w14:paraId="1032783A" w14:textId="77777777" w:rsidR="00043EEF" w:rsidRDefault="00043EEF">
      <w:pPr>
        <w:rPr>
          <w:rFonts w:ascii="Arial" w:hAnsi="Arial"/>
          <w:sz w:val="22"/>
        </w:rPr>
      </w:pPr>
    </w:p>
    <w:p w14:paraId="7B3AFB7E" w14:textId="77777777" w:rsidR="00043EEF" w:rsidRDefault="00043EEF">
      <w:pPr>
        <w:tabs>
          <w:tab w:val="decimal" w:pos="1440"/>
          <w:tab w:val="left" w:pos="1980"/>
        </w:tabs>
        <w:rPr>
          <w:rFonts w:ascii="Arial" w:hAnsi="Arial"/>
          <w:sz w:val="22"/>
        </w:rPr>
      </w:pPr>
      <w:r>
        <w:rPr>
          <w:rFonts w:ascii="Arial" w:hAnsi="Arial"/>
          <w:sz w:val="22"/>
        </w:rPr>
        <w:tab/>
        <w:t>(5)</w:t>
      </w:r>
      <w:r>
        <w:rPr>
          <w:rFonts w:ascii="Arial" w:hAnsi="Arial"/>
          <w:sz w:val="22"/>
        </w:rPr>
        <w:tab/>
        <w:t xml:space="preserve">tenant populations with special housing </w:t>
      </w:r>
      <w:proofErr w:type="gramStart"/>
      <w:r>
        <w:rPr>
          <w:rFonts w:ascii="Arial" w:hAnsi="Arial"/>
          <w:sz w:val="22"/>
        </w:rPr>
        <w:t>needs;</w:t>
      </w:r>
      <w:proofErr w:type="gramEnd"/>
    </w:p>
    <w:p w14:paraId="20CF1A58" w14:textId="77777777" w:rsidR="00043EEF" w:rsidRDefault="00043EEF">
      <w:pPr>
        <w:rPr>
          <w:rFonts w:ascii="Arial" w:hAnsi="Arial"/>
          <w:sz w:val="22"/>
        </w:rPr>
      </w:pPr>
    </w:p>
    <w:p w14:paraId="44326854" w14:textId="77777777" w:rsidR="00043EEF" w:rsidRDefault="00043EEF">
      <w:pPr>
        <w:tabs>
          <w:tab w:val="decimal" w:pos="1440"/>
          <w:tab w:val="left" w:pos="1980"/>
        </w:tabs>
        <w:rPr>
          <w:rFonts w:ascii="Arial" w:hAnsi="Arial"/>
          <w:sz w:val="22"/>
        </w:rPr>
      </w:pPr>
      <w:r>
        <w:rPr>
          <w:rFonts w:ascii="Arial" w:hAnsi="Arial"/>
          <w:sz w:val="22"/>
        </w:rPr>
        <w:tab/>
        <w:t>(6)</w:t>
      </w:r>
      <w:r>
        <w:rPr>
          <w:rFonts w:ascii="Arial" w:hAnsi="Arial"/>
          <w:sz w:val="22"/>
        </w:rPr>
        <w:tab/>
        <w:t xml:space="preserve">public housing waiting </w:t>
      </w:r>
      <w:proofErr w:type="gramStart"/>
      <w:r>
        <w:rPr>
          <w:rFonts w:ascii="Arial" w:hAnsi="Arial"/>
          <w:sz w:val="22"/>
        </w:rPr>
        <w:t>lists;</w:t>
      </w:r>
      <w:proofErr w:type="gramEnd"/>
    </w:p>
    <w:p w14:paraId="5CD9277F" w14:textId="77777777" w:rsidR="00043EEF" w:rsidRDefault="00043EEF">
      <w:pPr>
        <w:rPr>
          <w:rFonts w:ascii="Arial" w:hAnsi="Arial"/>
          <w:sz w:val="22"/>
        </w:rPr>
      </w:pPr>
    </w:p>
    <w:p w14:paraId="11CD09D5" w14:textId="77777777" w:rsidR="00043EEF" w:rsidRDefault="00043EEF">
      <w:pPr>
        <w:tabs>
          <w:tab w:val="decimal" w:pos="1440"/>
          <w:tab w:val="left" w:pos="1980"/>
        </w:tabs>
        <w:rPr>
          <w:rFonts w:ascii="Arial" w:hAnsi="Arial"/>
          <w:sz w:val="22"/>
        </w:rPr>
      </w:pPr>
      <w:r>
        <w:rPr>
          <w:rFonts w:ascii="Arial" w:hAnsi="Arial"/>
          <w:sz w:val="22"/>
        </w:rPr>
        <w:tab/>
        <w:t>(7)</w:t>
      </w:r>
      <w:r>
        <w:rPr>
          <w:rFonts w:ascii="Arial" w:hAnsi="Arial"/>
          <w:sz w:val="22"/>
        </w:rPr>
        <w:tab/>
        <w:t>tenant populations o</w:t>
      </w:r>
      <w:r w:rsidR="0032518F">
        <w:rPr>
          <w:rFonts w:ascii="Arial" w:hAnsi="Arial"/>
          <w:sz w:val="22"/>
        </w:rPr>
        <w:t xml:space="preserve">f individuals with </w:t>
      </w:r>
      <w:proofErr w:type="gramStart"/>
      <w:r w:rsidR="0032518F">
        <w:rPr>
          <w:rFonts w:ascii="Arial" w:hAnsi="Arial"/>
          <w:sz w:val="22"/>
        </w:rPr>
        <w:t>children;</w:t>
      </w:r>
      <w:proofErr w:type="gramEnd"/>
      <w:r w:rsidR="0032518F">
        <w:rPr>
          <w:rFonts w:ascii="Arial" w:hAnsi="Arial"/>
          <w:sz w:val="22"/>
        </w:rPr>
        <w:t xml:space="preserve"> </w:t>
      </w:r>
    </w:p>
    <w:p w14:paraId="01FEE9EE" w14:textId="77777777" w:rsidR="00043EEF" w:rsidRDefault="00043EEF">
      <w:pPr>
        <w:rPr>
          <w:rFonts w:ascii="Arial" w:hAnsi="Arial"/>
          <w:sz w:val="22"/>
        </w:rPr>
      </w:pPr>
    </w:p>
    <w:p w14:paraId="2B60EFC2" w14:textId="77777777" w:rsidR="00043EEF" w:rsidRDefault="00043EEF" w:rsidP="0031633A">
      <w:pPr>
        <w:tabs>
          <w:tab w:val="decimal" w:pos="1440"/>
          <w:tab w:val="left" w:pos="1980"/>
        </w:tabs>
        <w:ind w:left="1980" w:hanging="1980"/>
        <w:rPr>
          <w:rFonts w:ascii="Arial" w:hAnsi="Arial"/>
          <w:sz w:val="22"/>
        </w:rPr>
      </w:pPr>
      <w:r>
        <w:rPr>
          <w:rFonts w:ascii="Arial" w:hAnsi="Arial"/>
          <w:sz w:val="22"/>
        </w:rPr>
        <w:tab/>
        <w:t>(8)</w:t>
      </w:r>
      <w:r>
        <w:rPr>
          <w:rFonts w:ascii="Arial" w:hAnsi="Arial"/>
          <w:sz w:val="22"/>
        </w:rPr>
        <w:tab/>
        <w:t>projects intende</w:t>
      </w:r>
      <w:r w:rsidR="0032518F">
        <w:rPr>
          <w:rFonts w:ascii="Arial" w:hAnsi="Arial"/>
          <w:sz w:val="22"/>
        </w:rPr>
        <w:t xml:space="preserve">d for eventual tenant </w:t>
      </w:r>
      <w:proofErr w:type="gramStart"/>
      <w:r w:rsidR="0032518F">
        <w:rPr>
          <w:rFonts w:ascii="Arial" w:hAnsi="Arial"/>
          <w:sz w:val="22"/>
        </w:rPr>
        <w:t>ownership</w:t>
      </w:r>
      <w:r w:rsidR="000B2435">
        <w:rPr>
          <w:rFonts w:ascii="Arial" w:hAnsi="Arial"/>
          <w:sz w:val="22"/>
        </w:rPr>
        <w:t>;</w:t>
      </w:r>
      <w:proofErr w:type="gramEnd"/>
      <w:r w:rsidR="000B2435">
        <w:rPr>
          <w:rFonts w:ascii="Arial" w:hAnsi="Arial"/>
          <w:sz w:val="22"/>
        </w:rPr>
        <w:t xml:space="preserve"> </w:t>
      </w:r>
    </w:p>
    <w:p w14:paraId="40DAA3F8" w14:textId="77777777" w:rsidR="0032518F" w:rsidRDefault="0032518F">
      <w:pPr>
        <w:tabs>
          <w:tab w:val="decimal" w:pos="1440"/>
          <w:tab w:val="left" w:pos="1980"/>
        </w:tabs>
        <w:rPr>
          <w:rFonts w:ascii="Arial" w:hAnsi="Arial"/>
          <w:sz w:val="22"/>
        </w:rPr>
      </w:pPr>
    </w:p>
    <w:p w14:paraId="1ED13E4F" w14:textId="77777777" w:rsidR="0032518F" w:rsidRDefault="0031633A" w:rsidP="000B2435">
      <w:pPr>
        <w:tabs>
          <w:tab w:val="decimal" w:pos="1440"/>
          <w:tab w:val="left" w:pos="1980"/>
        </w:tabs>
        <w:ind w:left="1980" w:hanging="1980"/>
        <w:rPr>
          <w:rFonts w:ascii="Arial" w:hAnsi="Arial"/>
          <w:sz w:val="22"/>
        </w:rPr>
      </w:pPr>
      <w:r>
        <w:rPr>
          <w:rFonts w:ascii="Arial" w:hAnsi="Arial"/>
          <w:sz w:val="22"/>
        </w:rPr>
        <w:t xml:space="preserve">                 </w:t>
      </w:r>
      <w:r>
        <w:rPr>
          <w:rFonts w:ascii="Arial" w:hAnsi="Arial"/>
          <w:sz w:val="22"/>
        </w:rPr>
        <w:tab/>
      </w:r>
      <w:r w:rsidR="0032518F">
        <w:rPr>
          <w:rFonts w:ascii="Arial" w:hAnsi="Arial"/>
          <w:sz w:val="22"/>
        </w:rPr>
        <w:t>(9)</w:t>
      </w:r>
      <w:r w:rsidR="00A965FA">
        <w:rPr>
          <w:rFonts w:ascii="Arial" w:hAnsi="Arial"/>
          <w:sz w:val="22"/>
        </w:rPr>
        <w:t xml:space="preserve">       </w:t>
      </w:r>
      <w:r>
        <w:rPr>
          <w:rFonts w:ascii="Arial" w:hAnsi="Arial"/>
          <w:sz w:val="22"/>
        </w:rPr>
        <w:t xml:space="preserve"> </w:t>
      </w:r>
      <w:r w:rsidR="00A965FA" w:rsidRPr="00A965FA">
        <w:rPr>
          <w:rFonts w:ascii="Arial" w:hAnsi="Arial"/>
          <w:sz w:val="22"/>
        </w:rPr>
        <w:t>the energy efficiency of the project</w:t>
      </w:r>
      <w:r w:rsidR="000B2435">
        <w:rPr>
          <w:rFonts w:ascii="Arial" w:hAnsi="Arial"/>
          <w:sz w:val="22"/>
        </w:rPr>
        <w:t xml:space="preserve">; </w:t>
      </w:r>
      <w:r w:rsidR="00A965FA">
        <w:rPr>
          <w:rFonts w:ascii="Arial" w:hAnsi="Arial"/>
          <w:sz w:val="22"/>
        </w:rPr>
        <w:t>and</w:t>
      </w:r>
    </w:p>
    <w:p w14:paraId="5C500EAD" w14:textId="77777777" w:rsidR="0032518F" w:rsidRDefault="0032518F">
      <w:pPr>
        <w:tabs>
          <w:tab w:val="decimal" w:pos="1440"/>
          <w:tab w:val="left" w:pos="1980"/>
        </w:tabs>
        <w:rPr>
          <w:rFonts w:ascii="Arial" w:hAnsi="Arial"/>
          <w:sz w:val="22"/>
        </w:rPr>
      </w:pPr>
    </w:p>
    <w:p w14:paraId="064FE29C" w14:textId="75202945" w:rsidR="0032518F" w:rsidRDefault="0031633A" w:rsidP="000B2435">
      <w:pPr>
        <w:tabs>
          <w:tab w:val="decimal" w:pos="1440"/>
          <w:tab w:val="left" w:pos="1980"/>
        </w:tabs>
        <w:ind w:left="1980" w:hanging="1980"/>
        <w:rPr>
          <w:rFonts w:ascii="Arial" w:hAnsi="Arial"/>
          <w:sz w:val="22"/>
        </w:rPr>
      </w:pPr>
      <w:r>
        <w:rPr>
          <w:rFonts w:ascii="Arial" w:hAnsi="Arial"/>
          <w:sz w:val="22"/>
        </w:rPr>
        <w:tab/>
        <w:t xml:space="preserve">         </w:t>
      </w:r>
      <w:r w:rsidR="0032518F">
        <w:rPr>
          <w:rFonts w:ascii="Arial" w:hAnsi="Arial"/>
          <w:sz w:val="22"/>
        </w:rPr>
        <w:t>(10)</w:t>
      </w:r>
      <w:r w:rsidR="00A965FA">
        <w:rPr>
          <w:rFonts w:ascii="Arial" w:hAnsi="Arial"/>
          <w:sz w:val="22"/>
        </w:rPr>
        <w:t xml:space="preserve">   </w:t>
      </w:r>
      <w:r>
        <w:rPr>
          <w:rFonts w:ascii="Arial" w:hAnsi="Arial"/>
          <w:sz w:val="22"/>
        </w:rPr>
        <w:t xml:space="preserve">   </w:t>
      </w:r>
      <w:r w:rsidR="00A965FA">
        <w:rPr>
          <w:rFonts w:ascii="Arial" w:hAnsi="Arial"/>
          <w:sz w:val="22"/>
        </w:rPr>
        <w:t xml:space="preserve"> </w:t>
      </w:r>
      <w:r w:rsidR="00C61F99">
        <w:rPr>
          <w:rFonts w:ascii="Arial" w:hAnsi="Arial"/>
          <w:sz w:val="22"/>
        </w:rPr>
        <w:t xml:space="preserve"> </w:t>
      </w:r>
      <w:r w:rsidR="00A965FA">
        <w:rPr>
          <w:rFonts w:ascii="Arial" w:hAnsi="Arial"/>
          <w:sz w:val="22"/>
        </w:rPr>
        <w:t>the historic nature of the project.</w:t>
      </w:r>
      <w:r>
        <w:rPr>
          <w:rFonts w:ascii="Arial" w:hAnsi="Arial"/>
          <w:sz w:val="22"/>
        </w:rPr>
        <w:t xml:space="preserve">  </w:t>
      </w:r>
    </w:p>
    <w:p w14:paraId="41B53365" w14:textId="77777777" w:rsidR="00043EEF" w:rsidRDefault="00043EEF">
      <w:pPr>
        <w:rPr>
          <w:rFonts w:ascii="Arial" w:hAnsi="Arial"/>
          <w:sz w:val="22"/>
        </w:rPr>
      </w:pPr>
    </w:p>
    <w:p w14:paraId="5F81706C" w14:textId="77777777" w:rsidR="00043EEF" w:rsidRDefault="00043EEF" w:rsidP="00201A91">
      <w:pPr>
        <w:pStyle w:val="BodyTextIndent2"/>
        <w:ind w:left="0" w:firstLine="0"/>
        <w:jc w:val="both"/>
        <w:rPr>
          <w:rFonts w:ascii="Arial" w:hAnsi="Arial"/>
          <w:sz w:val="22"/>
        </w:rPr>
      </w:pPr>
      <w:r>
        <w:rPr>
          <w:rFonts w:ascii="Arial" w:hAnsi="Arial"/>
          <w:sz w:val="22"/>
        </w:rPr>
        <w:tab/>
        <w:t>C.</w:t>
      </w:r>
      <w:r>
        <w:rPr>
          <w:rFonts w:ascii="Arial" w:hAnsi="Arial"/>
          <w:sz w:val="22"/>
        </w:rPr>
        <w:tab/>
        <w:t xml:space="preserve">This </w:t>
      </w:r>
      <w:r w:rsidR="008C07BD">
        <w:rPr>
          <w:rFonts w:ascii="Arial" w:hAnsi="Arial"/>
          <w:sz w:val="22"/>
        </w:rPr>
        <w:t xml:space="preserve">QAP </w:t>
      </w:r>
      <w:r>
        <w:rPr>
          <w:rFonts w:ascii="Arial" w:hAnsi="Arial"/>
          <w:sz w:val="22"/>
        </w:rPr>
        <w:t xml:space="preserve">provides for </w:t>
      </w:r>
      <w:r w:rsidR="00A965FA">
        <w:rPr>
          <w:rFonts w:ascii="Arial" w:hAnsi="Arial"/>
          <w:sz w:val="22"/>
        </w:rPr>
        <w:t xml:space="preserve">the financial feasibility </w:t>
      </w:r>
      <w:r>
        <w:rPr>
          <w:rFonts w:ascii="Arial" w:hAnsi="Arial"/>
          <w:sz w:val="22"/>
        </w:rPr>
        <w:t>review of each project and its via</w:t>
      </w:r>
      <w:r w:rsidR="00867B03">
        <w:rPr>
          <w:rFonts w:ascii="Arial" w:hAnsi="Arial"/>
          <w:sz w:val="22"/>
        </w:rPr>
        <w:t>bility as a qualified HTC</w:t>
      </w:r>
      <w:r>
        <w:rPr>
          <w:rFonts w:ascii="Arial" w:hAnsi="Arial"/>
          <w:sz w:val="22"/>
        </w:rPr>
        <w:t xml:space="preserve"> project throughout the </w:t>
      </w:r>
      <w:r w:rsidR="00C41A6A">
        <w:rPr>
          <w:rFonts w:ascii="Arial" w:hAnsi="Arial"/>
          <w:sz w:val="22"/>
        </w:rPr>
        <w:t xml:space="preserve">10-year </w:t>
      </w:r>
      <w:r>
        <w:rPr>
          <w:rFonts w:ascii="Arial" w:hAnsi="Arial"/>
          <w:sz w:val="22"/>
        </w:rPr>
        <w:t xml:space="preserve">credit period as of the application date, </w:t>
      </w:r>
      <w:r w:rsidR="003C551A">
        <w:rPr>
          <w:rFonts w:ascii="Arial" w:hAnsi="Arial"/>
          <w:sz w:val="22"/>
        </w:rPr>
        <w:t xml:space="preserve">the </w:t>
      </w:r>
      <w:r w:rsidR="00214578">
        <w:rPr>
          <w:rFonts w:ascii="Arial" w:hAnsi="Arial"/>
          <w:sz w:val="22"/>
        </w:rPr>
        <w:t xml:space="preserve">carryover </w:t>
      </w:r>
      <w:r>
        <w:rPr>
          <w:rFonts w:ascii="Arial" w:hAnsi="Arial"/>
          <w:sz w:val="22"/>
        </w:rPr>
        <w:t xml:space="preserve">allocation date and </w:t>
      </w:r>
      <w:r w:rsidR="003C551A">
        <w:rPr>
          <w:rFonts w:ascii="Arial" w:hAnsi="Arial"/>
          <w:sz w:val="22"/>
        </w:rPr>
        <w:t xml:space="preserve">the </w:t>
      </w:r>
      <w:r>
        <w:rPr>
          <w:rFonts w:ascii="Arial" w:hAnsi="Arial"/>
          <w:sz w:val="22"/>
        </w:rPr>
        <w:t xml:space="preserve">placed </w:t>
      </w:r>
      <w:proofErr w:type="gramStart"/>
      <w:r>
        <w:rPr>
          <w:rFonts w:ascii="Arial" w:hAnsi="Arial"/>
          <w:sz w:val="22"/>
        </w:rPr>
        <w:t>in service</w:t>
      </w:r>
      <w:proofErr w:type="gramEnd"/>
      <w:r>
        <w:rPr>
          <w:rFonts w:ascii="Arial" w:hAnsi="Arial"/>
          <w:sz w:val="22"/>
        </w:rPr>
        <w:t xml:space="preserve"> date, all as required by Section 42(m)(2) of the Code.</w:t>
      </w:r>
    </w:p>
    <w:p w14:paraId="03C2CB0F" w14:textId="77777777" w:rsidR="00043EEF" w:rsidRDefault="00043EEF" w:rsidP="00201A91">
      <w:pPr>
        <w:jc w:val="both"/>
        <w:rPr>
          <w:rFonts w:ascii="Arial" w:hAnsi="Arial"/>
          <w:sz w:val="22"/>
        </w:rPr>
      </w:pPr>
    </w:p>
    <w:p w14:paraId="67349203" w14:textId="5A0A2D06" w:rsidR="009E158A" w:rsidRDefault="00043EEF" w:rsidP="00201A91">
      <w:pPr>
        <w:pStyle w:val="BodyText"/>
        <w:jc w:val="both"/>
        <w:rPr>
          <w:rFonts w:ascii="Arial" w:hAnsi="Arial"/>
          <w:sz w:val="22"/>
        </w:rPr>
      </w:pPr>
      <w:r>
        <w:rPr>
          <w:rFonts w:ascii="Arial" w:hAnsi="Arial"/>
          <w:sz w:val="22"/>
        </w:rPr>
        <w:tab/>
        <w:t>D.</w:t>
      </w:r>
      <w:r>
        <w:rPr>
          <w:rFonts w:ascii="Arial" w:hAnsi="Arial"/>
          <w:sz w:val="22"/>
        </w:rPr>
        <w:tab/>
        <w:t xml:space="preserve">This </w:t>
      </w:r>
      <w:r w:rsidR="008C07BD">
        <w:rPr>
          <w:rFonts w:ascii="Arial" w:hAnsi="Arial"/>
          <w:sz w:val="22"/>
        </w:rPr>
        <w:t>QAP</w:t>
      </w:r>
      <w:r w:rsidR="00201A91">
        <w:rPr>
          <w:rFonts w:ascii="Arial" w:hAnsi="Arial"/>
          <w:sz w:val="22"/>
        </w:rPr>
        <w:t xml:space="preserve"> provides </w:t>
      </w:r>
      <w:r>
        <w:rPr>
          <w:rFonts w:ascii="Arial" w:hAnsi="Arial"/>
          <w:sz w:val="22"/>
        </w:rPr>
        <w:t>procedure</w:t>
      </w:r>
      <w:r w:rsidR="00201A91">
        <w:rPr>
          <w:rFonts w:ascii="Arial" w:hAnsi="Arial"/>
          <w:sz w:val="22"/>
        </w:rPr>
        <w:t>s</w:t>
      </w:r>
      <w:r>
        <w:rPr>
          <w:rFonts w:ascii="Arial" w:hAnsi="Arial"/>
          <w:sz w:val="22"/>
        </w:rPr>
        <w:t xml:space="preserve"> that the Board (or </w:t>
      </w:r>
      <w:r w:rsidR="003C551A">
        <w:rPr>
          <w:rFonts w:ascii="Arial" w:hAnsi="Arial"/>
          <w:sz w:val="22"/>
        </w:rPr>
        <w:t>its agent(s), designees or private contractual parties</w:t>
      </w:r>
      <w:r>
        <w:rPr>
          <w:rFonts w:ascii="Arial" w:hAnsi="Arial"/>
          <w:sz w:val="22"/>
        </w:rPr>
        <w:t xml:space="preserve">) will follow in monitoring compliance with the provisions of Section 42 and in notifying the Internal Revenue Service </w:t>
      </w:r>
      <w:r w:rsidR="00201A91">
        <w:rPr>
          <w:rFonts w:ascii="Arial" w:hAnsi="Arial"/>
          <w:sz w:val="22"/>
        </w:rPr>
        <w:t xml:space="preserve">(“IRS”) </w:t>
      </w:r>
      <w:r>
        <w:rPr>
          <w:rFonts w:ascii="Arial" w:hAnsi="Arial"/>
          <w:sz w:val="22"/>
        </w:rPr>
        <w:t xml:space="preserve">of any noncompliance of which the Board or such </w:t>
      </w:r>
      <w:r w:rsidR="00867B03">
        <w:rPr>
          <w:rFonts w:ascii="Arial" w:hAnsi="Arial"/>
          <w:sz w:val="22"/>
        </w:rPr>
        <w:t xml:space="preserve">monitoring </w:t>
      </w:r>
      <w:r>
        <w:rPr>
          <w:rFonts w:ascii="Arial" w:hAnsi="Arial"/>
          <w:sz w:val="22"/>
        </w:rPr>
        <w:t>agent</w:t>
      </w:r>
      <w:r w:rsidR="003C551A">
        <w:rPr>
          <w:rFonts w:ascii="Arial" w:hAnsi="Arial"/>
          <w:sz w:val="22"/>
        </w:rPr>
        <w:t xml:space="preserve">, </w:t>
      </w:r>
      <w:r w:rsidR="00867B03">
        <w:rPr>
          <w:rFonts w:ascii="Arial" w:hAnsi="Arial"/>
          <w:sz w:val="22"/>
        </w:rPr>
        <w:t xml:space="preserve">authorized </w:t>
      </w:r>
      <w:r w:rsidR="003C551A">
        <w:rPr>
          <w:rFonts w:ascii="Arial" w:hAnsi="Arial"/>
          <w:sz w:val="22"/>
        </w:rPr>
        <w:t>designee or contracting party</w:t>
      </w:r>
      <w:r>
        <w:rPr>
          <w:rFonts w:ascii="Arial" w:hAnsi="Arial"/>
          <w:sz w:val="22"/>
        </w:rPr>
        <w:t xml:space="preserve"> becomes aware</w:t>
      </w:r>
      <w:r w:rsidR="000B2435">
        <w:rPr>
          <w:rFonts w:ascii="Arial" w:hAnsi="Arial"/>
          <w:sz w:val="22"/>
        </w:rPr>
        <w:t xml:space="preserve"> of</w:t>
      </w:r>
      <w:r>
        <w:rPr>
          <w:rFonts w:ascii="Arial" w:hAnsi="Arial"/>
          <w:sz w:val="22"/>
        </w:rPr>
        <w:t>.</w:t>
      </w:r>
    </w:p>
    <w:p w14:paraId="628B298D" w14:textId="77777777" w:rsidR="00043EEF" w:rsidRDefault="00043EEF">
      <w:pPr>
        <w:rPr>
          <w:rFonts w:ascii="Arial" w:hAnsi="Arial"/>
          <w:sz w:val="22"/>
        </w:rPr>
      </w:pPr>
    </w:p>
    <w:p w14:paraId="0FC5E1A3" w14:textId="77777777" w:rsidR="00043EEF" w:rsidRDefault="00FF2C1A" w:rsidP="00FF2C1A">
      <w:pPr>
        <w:pStyle w:val="Heading1"/>
        <w:tabs>
          <w:tab w:val="decimal" w:pos="720"/>
          <w:tab w:val="left" w:pos="1260"/>
        </w:tabs>
        <w:rPr>
          <w:rFonts w:ascii="Arial" w:hAnsi="Arial"/>
          <w:sz w:val="22"/>
        </w:rPr>
      </w:pPr>
      <w:r>
        <w:rPr>
          <w:rFonts w:ascii="Arial" w:hAnsi="Arial"/>
          <w:sz w:val="22"/>
        </w:rPr>
        <w:tab/>
      </w:r>
    </w:p>
    <w:p w14:paraId="356DF4C5" w14:textId="77777777" w:rsidR="00043EEF" w:rsidRDefault="00043EEF">
      <w:pPr>
        <w:pStyle w:val="Heading2"/>
        <w:rPr>
          <w:rFonts w:ascii="Arial" w:hAnsi="Arial"/>
          <w:sz w:val="22"/>
        </w:rPr>
      </w:pPr>
      <w:r>
        <w:rPr>
          <w:rFonts w:ascii="Arial" w:hAnsi="Arial"/>
          <w:sz w:val="22"/>
        </w:rPr>
        <w:t>ARTICLE V</w:t>
      </w:r>
    </w:p>
    <w:p w14:paraId="5653F924" w14:textId="065D0543" w:rsidR="00043EEF" w:rsidRDefault="00043EEF">
      <w:pPr>
        <w:pStyle w:val="Heading4"/>
      </w:pPr>
      <w:r>
        <w:t xml:space="preserve">Amount of </w:t>
      </w:r>
      <w:r w:rsidR="00201A91">
        <w:t>9% HTC</w:t>
      </w:r>
      <w:r w:rsidR="00497363">
        <w:t xml:space="preserve"> for </w:t>
      </w:r>
      <w:r w:rsidR="00107CFD">
        <w:t>202</w:t>
      </w:r>
      <w:r w:rsidR="004004FD">
        <w:t>4</w:t>
      </w:r>
      <w:r w:rsidR="00550BEA">
        <w:t>-202</w:t>
      </w:r>
      <w:r w:rsidR="004004FD">
        <w:t>5</w:t>
      </w:r>
    </w:p>
    <w:p w14:paraId="6E89B02B" w14:textId="77777777" w:rsidR="00043EEF" w:rsidRDefault="00043EEF">
      <w:pPr>
        <w:rPr>
          <w:rFonts w:ascii="Arial" w:hAnsi="Arial"/>
          <w:sz w:val="22"/>
        </w:rPr>
      </w:pPr>
    </w:p>
    <w:p w14:paraId="33385683" w14:textId="1B868691" w:rsidR="00497363" w:rsidRDefault="00043EEF" w:rsidP="000B2435">
      <w:pPr>
        <w:pStyle w:val="BodyText"/>
        <w:tabs>
          <w:tab w:val="clear" w:pos="720"/>
          <w:tab w:val="clear" w:pos="1260"/>
        </w:tabs>
        <w:jc w:val="both"/>
        <w:rPr>
          <w:rFonts w:ascii="Arial" w:hAnsi="Arial"/>
          <w:sz w:val="22"/>
        </w:rPr>
      </w:pPr>
      <w:r>
        <w:rPr>
          <w:rFonts w:ascii="Arial" w:hAnsi="Arial"/>
          <w:sz w:val="22"/>
        </w:rPr>
        <w:tab/>
        <w:t xml:space="preserve">The maximum </w:t>
      </w:r>
      <w:r w:rsidR="0032518F">
        <w:rPr>
          <w:rFonts w:ascii="Arial" w:hAnsi="Arial"/>
          <w:sz w:val="22"/>
        </w:rPr>
        <w:t xml:space="preserve">amount of </w:t>
      </w:r>
      <w:r w:rsidR="00E93BFA">
        <w:rPr>
          <w:rFonts w:ascii="Arial" w:hAnsi="Arial"/>
          <w:sz w:val="22"/>
        </w:rPr>
        <w:t xml:space="preserve">9% </w:t>
      </w:r>
      <w:r w:rsidR="00201A91">
        <w:rPr>
          <w:rFonts w:ascii="Arial" w:hAnsi="Arial"/>
          <w:sz w:val="22"/>
        </w:rPr>
        <w:t>HTC</w:t>
      </w:r>
      <w:r>
        <w:rPr>
          <w:rFonts w:ascii="Arial" w:hAnsi="Arial"/>
          <w:sz w:val="22"/>
        </w:rPr>
        <w:t xml:space="preserve"> that may be allocated by the Board in any calendar year will be determined in accordance with </w:t>
      </w:r>
      <w:r w:rsidR="00201A91">
        <w:rPr>
          <w:rFonts w:ascii="Arial" w:hAnsi="Arial"/>
          <w:sz w:val="22"/>
        </w:rPr>
        <w:t>Section 42 and the Act</w:t>
      </w:r>
      <w:r>
        <w:rPr>
          <w:rFonts w:ascii="Arial" w:hAnsi="Arial"/>
          <w:sz w:val="22"/>
        </w:rPr>
        <w:t xml:space="preserve">.  </w:t>
      </w:r>
      <w:r w:rsidR="00107CFD">
        <w:rPr>
          <w:rFonts w:ascii="Arial" w:hAnsi="Arial"/>
          <w:sz w:val="22"/>
        </w:rPr>
        <w:t>The available amount of 9% HTC for each City will be announced as part of the RFP</w:t>
      </w:r>
      <w:r w:rsidR="00BA56AA">
        <w:rPr>
          <w:rFonts w:ascii="Arial" w:hAnsi="Arial"/>
          <w:sz w:val="22"/>
        </w:rPr>
        <w:t>/NOFA</w:t>
      </w:r>
      <w:r w:rsidR="00107CFD">
        <w:rPr>
          <w:rFonts w:ascii="Arial" w:hAnsi="Arial"/>
          <w:sz w:val="22"/>
        </w:rPr>
        <w:t xml:space="preserve">. </w:t>
      </w:r>
    </w:p>
    <w:p w14:paraId="135BA0DB" w14:textId="77777777" w:rsidR="000B2435" w:rsidRDefault="000B2435" w:rsidP="000B2435">
      <w:pPr>
        <w:pStyle w:val="BodyText"/>
        <w:tabs>
          <w:tab w:val="clear" w:pos="720"/>
          <w:tab w:val="clear" w:pos="1260"/>
        </w:tabs>
        <w:jc w:val="both"/>
        <w:rPr>
          <w:rFonts w:ascii="Arial" w:hAnsi="Arial"/>
          <w:sz w:val="22"/>
        </w:rPr>
      </w:pPr>
    </w:p>
    <w:p w14:paraId="3D36AD0D" w14:textId="77777777" w:rsidR="000B2435" w:rsidRDefault="000B2435" w:rsidP="000B2435">
      <w:pPr>
        <w:pStyle w:val="BodyText"/>
        <w:tabs>
          <w:tab w:val="clear" w:pos="720"/>
          <w:tab w:val="clear" w:pos="1260"/>
        </w:tabs>
        <w:jc w:val="both"/>
        <w:rPr>
          <w:rFonts w:ascii="Arial" w:hAnsi="Arial"/>
          <w:sz w:val="22"/>
        </w:rPr>
      </w:pPr>
    </w:p>
    <w:p w14:paraId="7599AE1A" w14:textId="77777777" w:rsidR="000B2435" w:rsidRDefault="000B2435" w:rsidP="000B2435">
      <w:pPr>
        <w:pStyle w:val="BodyText"/>
        <w:tabs>
          <w:tab w:val="clear" w:pos="720"/>
          <w:tab w:val="clear" w:pos="1260"/>
        </w:tabs>
        <w:jc w:val="both"/>
        <w:rPr>
          <w:rFonts w:ascii="Arial" w:hAnsi="Arial"/>
          <w:sz w:val="22"/>
        </w:rPr>
      </w:pPr>
    </w:p>
    <w:p w14:paraId="5931AE87" w14:textId="77777777" w:rsidR="00043EEF" w:rsidRDefault="00546549">
      <w:pPr>
        <w:pStyle w:val="BodyText"/>
        <w:tabs>
          <w:tab w:val="clear" w:pos="720"/>
          <w:tab w:val="clear" w:pos="1260"/>
        </w:tabs>
        <w:jc w:val="center"/>
        <w:rPr>
          <w:rFonts w:ascii="Arial" w:hAnsi="Arial"/>
          <w:b/>
          <w:sz w:val="22"/>
        </w:rPr>
      </w:pPr>
      <w:r>
        <w:rPr>
          <w:rFonts w:ascii="Arial" w:hAnsi="Arial"/>
          <w:b/>
          <w:sz w:val="22"/>
        </w:rPr>
        <w:lastRenderedPageBreak/>
        <w:t>ARTICLE V</w:t>
      </w:r>
      <w:r w:rsidR="00497363">
        <w:rPr>
          <w:rFonts w:ascii="Arial" w:hAnsi="Arial"/>
          <w:b/>
          <w:sz w:val="22"/>
        </w:rPr>
        <w:t>I</w:t>
      </w:r>
    </w:p>
    <w:p w14:paraId="62015153" w14:textId="22FB0C0E" w:rsidR="00043EEF" w:rsidRDefault="00043EEF">
      <w:pPr>
        <w:jc w:val="center"/>
        <w:rPr>
          <w:rFonts w:ascii="Arial" w:hAnsi="Arial"/>
          <w:b/>
          <w:sz w:val="22"/>
        </w:rPr>
      </w:pPr>
      <w:r>
        <w:rPr>
          <w:rFonts w:ascii="Arial" w:hAnsi="Arial"/>
          <w:b/>
          <w:sz w:val="22"/>
        </w:rPr>
        <w:t>Application Process</w:t>
      </w:r>
      <w:r w:rsidR="00107CFD">
        <w:rPr>
          <w:rFonts w:ascii="Arial" w:hAnsi="Arial"/>
          <w:b/>
          <w:sz w:val="22"/>
        </w:rPr>
        <w:t xml:space="preserve"> – 9%</w:t>
      </w:r>
    </w:p>
    <w:p w14:paraId="6799C6A6" w14:textId="77777777" w:rsidR="004D1C31" w:rsidRDefault="004D1C31">
      <w:pPr>
        <w:jc w:val="center"/>
        <w:rPr>
          <w:rFonts w:ascii="Arial" w:hAnsi="Arial"/>
          <w:b/>
          <w:sz w:val="22"/>
        </w:rPr>
      </w:pPr>
    </w:p>
    <w:p w14:paraId="1166C4EB" w14:textId="77777777" w:rsidR="00043EEF" w:rsidRDefault="00043EEF">
      <w:pPr>
        <w:pStyle w:val="BodyText"/>
        <w:tabs>
          <w:tab w:val="clear" w:pos="1260"/>
          <w:tab w:val="left" w:pos="720"/>
        </w:tabs>
        <w:rPr>
          <w:rFonts w:ascii="Arial" w:hAnsi="Arial"/>
          <w:sz w:val="22"/>
        </w:rPr>
      </w:pPr>
      <w:r>
        <w:rPr>
          <w:rFonts w:ascii="Arial" w:hAnsi="Arial"/>
          <w:sz w:val="22"/>
        </w:rPr>
        <w:tab/>
        <w:t xml:space="preserve">The application process for reserving and allocating </w:t>
      </w:r>
      <w:r w:rsidR="008C07BD">
        <w:rPr>
          <w:rFonts w:ascii="Arial" w:hAnsi="Arial"/>
          <w:sz w:val="22"/>
        </w:rPr>
        <w:t xml:space="preserve">9% </w:t>
      </w:r>
      <w:r w:rsidR="00184475">
        <w:rPr>
          <w:rFonts w:ascii="Arial" w:hAnsi="Arial"/>
          <w:sz w:val="22"/>
        </w:rPr>
        <w:t>HTC</w:t>
      </w:r>
      <w:r>
        <w:rPr>
          <w:rFonts w:ascii="Arial" w:hAnsi="Arial"/>
          <w:sz w:val="22"/>
        </w:rPr>
        <w:t xml:space="preserve"> </w:t>
      </w:r>
      <w:r w:rsidR="00497363">
        <w:rPr>
          <w:rFonts w:ascii="Arial" w:hAnsi="Arial"/>
          <w:sz w:val="22"/>
        </w:rPr>
        <w:t xml:space="preserve">pursuant to this </w:t>
      </w:r>
      <w:r w:rsidR="008C07BD">
        <w:rPr>
          <w:rFonts w:ascii="Arial" w:hAnsi="Arial"/>
          <w:sz w:val="22"/>
        </w:rPr>
        <w:t>QAP</w:t>
      </w:r>
      <w:r w:rsidR="00497363">
        <w:rPr>
          <w:rFonts w:ascii="Arial" w:hAnsi="Arial"/>
          <w:sz w:val="22"/>
        </w:rPr>
        <w:t xml:space="preserve"> </w:t>
      </w:r>
      <w:r>
        <w:rPr>
          <w:rFonts w:ascii="Arial" w:hAnsi="Arial"/>
          <w:sz w:val="22"/>
        </w:rPr>
        <w:t>shall consist of the following steps:</w:t>
      </w:r>
    </w:p>
    <w:p w14:paraId="2E9D3374" w14:textId="77777777" w:rsidR="00043EEF" w:rsidRDefault="00043EEF">
      <w:pPr>
        <w:rPr>
          <w:rFonts w:ascii="Arial" w:hAnsi="Arial"/>
          <w:sz w:val="22"/>
        </w:rPr>
      </w:pPr>
    </w:p>
    <w:p w14:paraId="2582BA30" w14:textId="4AC2E74F" w:rsidR="00867B03" w:rsidRDefault="00867B03">
      <w:pPr>
        <w:pStyle w:val="BodyTextIndent3"/>
        <w:ind w:left="1440" w:hanging="720"/>
        <w:rPr>
          <w:rFonts w:ascii="Arial" w:hAnsi="Arial"/>
          <w:sz w:val="22"/>
        </w:rPr>
      </w:pPr>
      <w:r>
        <w:rPr>
          <w:rFonts w:ascii="Arial" w:hAnsi="Arial"/>
          <w:sz w:val="22"/>
        </w:rPr>
        <w:t>A.</w:t>
      </w:r>
      <w:r w:rsidR="00E93BFA">
        <w:rPr>
          <w:rFonts w:ascii="Arial" w:hAnsi="Arial"/>
          <w:sz w:val="22"/>
        </w:rPr>
        <w:tab/>
      </w:r>
      <w:r w:rsidR="00435BCF" w:rsidRPr="000B2435">
        <w:rPr>
          <w:rFonts w:ascii="Arial" w:hAnsi="Arial"/>
          <w:b/>
          <w:sz w:val="22"/>
          <w:u w:val="single"/>
        </w:rPr>
        <w:t>Applicants</w:t>
      </w:r>
      <w:r w:rsidR="000B2435">
        <w:rPr>
          <w:rFonts w:ascii="Arial" w:hAnsi="Arial"/>
          <w:sz w:val="22"/>
        </w:rPr>
        <w:t xml:space="preserve"> </w:t>
      </w:r>
      <w:r w:rsidR="00D561CD" w:rsidRPr="000B2435">
        <w:rPr>
          <w:rFonts w:ascii="Arial" w:hAnsi="Arial"/>
          <w:sz w:val="22"/>
        </w:rPr>
        <w:t>shall</w:t>
      </w:r>
      <w:r w:rsidR="00D561CD">
        <w:rPr>
          <w:rFonts w:ascii="Arial" w:hAnsi="Arial"/>
          <w:sz w:val="22"/>
        </w:rPr>
        <w:t xml:space="preserve"> submit to CPED</w:t>
      </w:r>
      <w:r w:rsidR="000B2435">
        <w:rPr>
          <w:rFonts w:ascii="Arial" w:hAnsi="Arial"/>
          <w:sz w:val="22"/>
        </w:rPr>
        <w:t xml:space="preserve"> or HRA, as appropriate, </w:t>
      </w:r>
      <w:r w:rsidR="00D561CD">
        <w:rPr>
          <w:rFonts w:ascii="Arial" w:hAnsi="Arial"/>
          <w:sz w:val="22"/>
        </w:rPr>
        <w:t>the following:</w:t>
      </w:r>
      <w:r w:rsidR="00D561CD">
        <w:rPr>
          <w:rFonts w:ascii="Arial" w:hAnsi="Arial"/>
          <w:sz w:val="22"/>
        </w:rPr>
        <w:br/>
      </w:r>
      <w:r w:rsidR="00CE5F85">
        <w:rPr>
          <w:rFonts w:ascii="Arial" w:hAnsi="Arial"/>
          <w:b/>
          <w:sz w:val="22"/>
          <w:u w:val="single"/>
        </w:rPr>
        <w:br/>
      </w:r>
      <w:r>
        <w:rPr>
          <w:rFonts w:ascii="Arial" w:hAnsi="Arial"/>
          <w:sz w:val="22"/>
        </w:rPr>
        <w:t>(1)</w:t>
      </w:r>
      <w:r w:rsidR="00CE5F85">
        <w:rPr>
          <w:rFonts w:ascii="Arial" w:hAnsi="Arial"/>
          <w:sz w:val="22"/>
        </w:rPr>
        <w:t xml:space="preserve"> </w:t>
      </w:r>
      <w:r>
        <w:rPr>
          <w:rFonts w:ascii="Arial" w:hAnsi="Arial"/>
          <w:sz w:val="22"/>
        </w:rPr>
        <w:tab/>
      </w:r>
      <w:r w:rsidR="00D561CD">
        <w:rPr>
          <w:rFonts w:ascii="Arial" w:hAnsi="Arial"/>
          <w:sz w:val="22"/>
        </w:rPr>
        <w:t>a completed, signed and dated original A</w:t>
      </w:r>
      <w:r w:rsidR="00435BCF">
        <w:rPr>
          <w:rFonts w:ascii="Arial" w:hAnsi="Arial"/>
          <w:sz w:val="22"/>
        </w:rPr>
        <w:t>pplication</w:t>
      </w:r>
      <w:r w:rsidR="00C2140D">
        <w:rPr>
          <w:rFonts w:ascii="Arial" w:hAnsi="Arial"/>
          <w:sz w:val="22"/>
        </w:rPr>
        <w:t>, as described in Section VII of the Procedural Manual, and</w:t>
      </w:r>
    </w:p>
    <w:p w14:paraId="232D859A" w14:textId="290F0024" w:rsidR="00867B03" w:rsidRDefault="00867B03" w:rsidP="00D561CD">
      <w:pPr>
        <w:pStyle w:val="BodyTextIndent3"/>
        <w:ind w:left="1440" w:hanging="720"/>
        <w:rPr>
          <w:rFonts w:ascii="Arial" w:hAnsi="Arial"/>
          <w:sz w:val="22"/>
        </w:rPr>
      </w:pPr>
    </w:p>
    <w:p w14:paraId="246B2755" w14:textId="37C6D418" w:rsidR="00867B03" w:rsidRDefault="00867B03" w:rsidP="00D561CD">
      <w:pPr>
        <w:pStyle w:val="BodyTextIndent3"/>
        <w:ind w:left="1440" w:hanging="720"/>
        <w:rPr>
          <w:rFonts w:ascii="Arial" w:hAnsi="Arial"/>
          <w:sz w:val="22"/>
        </w:rPr>
      </w:pPr>
      <w:r>
        <w:rPr>
          <w:rFonts w:ascii="Arial" w:hAnsi="Arial"/>
          <w:sz w:val="22"/>
        </w:rPr>
        <w:tab/>
        <w:t>(</w:t>
      </w:r>
      <w:r w:rsidR="00C2140D">
        <w:rPr>
          <w:rFonts w:ascii="Arial" w:hAnsi="Arial"/>
          <w:sz w:val="22"/>
        </w:rPr>
        <w:t>2</w:t>
      </w:r>
      <w:r>
        <w:rPr>
          <w:rFonts w:ascii="Arial" w:hAnsi="Arial"/>
          <w:sz w:val="22"/>
        </w:rPr>
        <w:t>)</w:t>
      </w:r>
      <w:r>
        <w:rPr>
          <w:rFonts w:ascii="Arial" w:hAnsi="Arial"/>
          <w:sz w:val="22"/>
        </w:rPr>
        <w:tab/>
      </w:r>
      <w:r w:rsidR="00D561CD">
        <w:rPr>
          <w:rFonts w:ascii="Arial" w:hAnsi="Arial"/>
          <w:sz w:val="22"/>
        </w:rPr>
        <w:t xml:space="preserve"> a completed</w:t>
      </w:r>
      <w:r w:rsidR="00CE5F85">
        <w:rPr>
          <w:rFonts w:ascii="Arial" w:hAnsi="Arial"/>
          <w:sz w:val="22"/>
        </w:rPr>
        <w:t xml:space="preserve"> Self-Scoring Worksheet </w:t>
      </w:r>
      <w:r w:rsidR="00D561CD">
        <w:rPr>
          <w:rFonts w:ascii="Arial" w:hAnsi="Arial"/>
          <w:sz w:val="22"/>
        </w:rPr>
        <w:t>(</w:t>
      </w:r>
      <w:r w:rsidR="00435BCF">
        <w:rPr>
          <w:rFonts w:ascii="Arial" w:hAnsi="Arial"/>
          <w:sz w:val="22"/>
        </w:rPr>
        <w:t xml:space="preserve">attached hereto as </w:t>
      </w:r>
      <w:r w:rsidR="00166561">
        <w:rPr>
          <w:rFonts w:ascii="Arial" w:hAnsi="Arial"/>
          <w:sz w:val="22"/>
        </w:rPr>
        <w:t>Attachment</w:t>
      </w:r>
      <w:r w:rsidR="00D561CD">
        <w:rPr>
          <w:rFonts w:ascii="Arial" w:hAnsi="Arial"/>
          <w:sz w:val="22"/>
        </w:rPr>
        <w:t xml:space="preserve"> </w:t>
      </w:r>
      <w:proofErr w:type="gramStart"/>
      <w:r w:rsidR="00D561CD">
        <w:rPr>
          <w:rFonts w:ascii="Arial" w:hAnsi="Arial"/>
          <w:sz w:val="22"/>
        </w:rPr>
        <w:t>1</w:t>
      </w:r>
      <w:r w:rsidR="005352ED">
        <w:rPr>
          <w:rFonts w:ascii="Arial" w:hAnsi="Arial"/>
          <w:sz w:val="22"/>
        </w:rPr>
        <w:t xml:space="preserve"> </w:t>
      </w:r>
      <w:r>
        <w:rPr>
          <w:rFonts w:ascii="Arial" w:hAnsi="Arial"/>
          <w:sz w:val="22"/>
        </w:rPr>
        <w:t xml:space="preserve"> </w:t>
      </w:r>
      <w:r w:rsidR="005352ED">
        <w:rPr>
          <w:rFonts w:ascii="Arial" w:hAnsi="Arial"/>
          <w:sz w:val="22"/>
        </w:rPr>
        <w:t>or</w:t>
      </w:r>
      <w:proofErr w:type="gramEnd"/>
      <w:r w:rsidR="005352ED">
        <w:rPr>
          <w:rFonts w:ascii="Arial" w:hAnsi="Arial"/>
          <w:sz w:val="22"/>
        </w:rPr>
        <w:t xml:space="preserve"> Attachment 2, as appropriate</w:t>
      </w:r>
      <w:r w:rsidR="00D561CD">
        <w:rPr>
          <w:rFonts w:ascii="Arial" w:hAnsi="Arial"/>
          <w:sz w:val="22"/>
        </w:rPr>
        <w:t>)</w:t>
      </w:r>
    </w:p>
    <w:p w14:paraId="0C42C5EB" w14:textId="77777777" w:rsidR="008859AB" w:rsidRDefault="00D561CD">
      <w:pPr>
        <w:pStyle w:val="BodyTextIndent3"/>
        <w:rPr>
          <w:rFonts w:ascii="Arial" w:hAnsi="Arial"/>
          <w:sz w:val="22"/>
        </w:rPr>
      </w:pPr>
      <w:r>
        <w:rPr>
          <w:rFonts w:ascii="Arial" w:hAnsi="Arial"/>
          <w:sz w:val="22"/>
        </w:rPr>
        <w:t xml:space="preserve"> </w:t>
      </w:r>
    </w:p>
    <w:p w14:paraId="78AF6E0F" w14:textId="77777777" w:rsidR="00043EEF" w:rsidRDefault="00867B03" w:rsidP="00867B03">
      <w:pPr>
        <w:pStyle w:val="BodyTextIndent3"/>
        <w:rPr>
          <w:rFonts w:ascii="Arial" w:hAnsi="Arial"/>
          <w:sz w:val="22"/>
        </w:rPr>
      </w:pPr>
      <w:r>
        <w:rPr>
          <w:rFonts w:ascii="Arial" w:hAnsi="Arial"/>
          <w:sz w:val="22"/>
        </w:rPr>
        <w:t>B.</w:t>
      </w:r>
      <w:r>
        <w:rPr>
          <w:rFonts w:ascii="Arial" w:hAnsi="Arial"/>
          <w:sz w:val="22"/>
        </w:rPr>
        <w:tab/>
        <w:t xml:space="preserve">         </w:t>
      </w:r>
      <w:r w:rsidR="005352ED">
        <w:rPr>
          <w:rFonts w:ascii="Arial" w:hAnsi="Arial"/>
          <w:b/>
          <w:sz w:val="22"/>
          <w:u w:val="single"/>
        </w:rPr>
        <w:t>HRA</w:t>
      </w:r>
      <w:r w:rsidR="00043EEF" w:rsidRPr="005352ED">
        <w:rPr>
          <w:rFonts w:ascii="Arial" w:hAnsi="Arial"/>
          <w:b/>
          <w:sz w:val="22"/>
          <w:u w:val="single"/>
        </w:rPr>
        <w:t xml:space="preserve"> or </w:t>
      </w:r>
      <w:r w:rsidR="00133988" w:rsidRPr="005352ED">
        <w:rPr>
          <w:rFonts w:ascii="Arial" w:hAnsi="Arial"/>
          <w:b/>
          <w:sz w:val="22"/>
          <w:u w:val="single"/>
        </w:rPr>
        <w:t>CPED</w:t>
      </w:r>
      <w:r w:rsidR="008859AB">
        <w:rPr>
          <w:rFonts w:ascii="Arial" w:hAnsi="Arial"/>
          <w:sz w:val="22"/>
        </w:rPr>
        <w:t>, as applicable</w:t>
      </w:r>
      <w:r w:rsidR="00497363">
        <w:rPr>
          <w:rFonts w:ascii="Arial" w:hAnsi="Arial"/>
          <w:sz w:val="22"/>
        </w:rPr>
        <w:t>,</w:t>
      </w:r>
      <w:r w:rsidR="00FE14C9">
        <w:rPr>
          <w:rFonts w:ascii="Arial" w:hAnsi="Arial"/>
          <w:sz w:val="22"/>
        </w:rPr>
        <w:t xml:space="preserve"> shall review and evaluate the A</w:t>
      </w:r>
      <w:r w:rsidR="00043EEF">
        <w:rPr>
          <w:rFonts w:ascii="Arial" w:hAnsi="Arial"/>
          <w:sz w:val="22"/>
        </w:rPr>
        <w:t>pplication</w:t>
      </w:r>
      <w:r w:rsidR="00E93BFA">
        <w:rPr>
          <w:rFonts w:ascii="Arial" w:hAnsi="Arial"/>
          <w:sz w:val="22"/>
        </w:rPr>
        <w:t>s</w:t>
      </w:r>
      <w:r w:rsidR="00497363">
        <w:rPr>
          <w:rFonts w:ascii="Arial" w:hAnsi="Arial"/>
          <w:sz w:val="22"/>
        </w:rPr>
        <w:t xml:space="preserve"> in accordance with this </w:t>
      </w:r>
      <w:r w:rsidR="008C07BD">
        <w:rPr>
          <w:rFonts w:ascii="Arial" w:hAnsi="Arial"/>
          <w:sz w:val="22"/>
        </w:rPr>
        <w:t>QAP</w:t>
      </w:r>
      <w:r w:rsidR="00497363">
        <w:rPr>
          <w:rFonts w:ascii="Arial" w:hAnsi="Arial"/>
          <w:sz w:val="22"/>
        </w:rPr>
        <w:t xml:space="preserve"> and the </w:t>
      </w:r>
      <w:r w:rsidR="00043EEF">
        <w:rPr>
          <w:rFonts w:ascii="Arial" w:hAnsi="Arial"/>
          <w:sz w:val="22"/>
        </w:rPr>
        <w:t>Procedural Manual to:</w:t>
      </w:r>
    </w:p>
    <w:p w14:paraId="7D1E1D4C" w14:textId="77777777" w:rsidR="00043EEF" w:rsidRDefault="00043EEF">
      <w:pPr>
        <w:rPr>
          <w:rFonts w:ascii="Arial" w:hAnsi="Arial"/>
          <w:sz w:val="22"/>
        </w:rPr>
      </w:pPr>
    </w:p>
    <w:p w14:paraId="0756E386" w14:textId="77777777" w:rsidR="00043EEF" w:rsidRDefault="00867B03" w:rsidP="00867B03">
      <w:pPr>
        <w:ind w:left="2160" w:hanging="720"/>
        <w:rPr>
          <w:rFonts w:ascii="Arial" w:hAnsi="Arial"/>
          <w:sz w:val="22"/>
        </w:rPr>
      </w:pPr>
      <w:r>
        <w:rPr>
          <w:rFonts w:ascii="Arial" w:hAnsi="Arial"/>
          <w:sz w:val="22"/>
        </w:rPr>
        <w:t>(1)</w:t>
      </w:r>
      <w:r>
        <w:rPr>
          <w:rFonts w:ascii="Arial" w:hAnsi="Arial"/>
          <w:sz w:val="22"/>
        </w:rPr>
        <w:tab/>
      </w:r>
      <w:r w:rsidR="00FE14C9">
        <w:rPr>
          <w:rFonts w:ascii="Arial" w:hAnsi="Arial"/>
          <w:sz w:val="22"/>
        </w:rPr>
        <w:t xml:space="preserve">determine whether </w:t>
      </w:r>
      <w:r w:rsidR="00F42C48">
        <w:rPr>
          <w:rFonts w:ascii="Arial" w:hAnsi="Arial"/>
          <w:sz w:val="22"/>
        </w:rPr>
        <w:t xml:space="preserve">the </w:t>
      </w:r>
      <w:r w:rsidR="00043EEF">
        <w:rPr>
          <w:rFonts w:ascii="Arial" w:hAnsi="Arial"/>
          <w:sz w:val="22"/>
        </w:rPr>
        <w:t>applicable minimum threshold req</w:t>
      </w:r>
      <w:r w:rsidR="00F42C48">
        <w:rPr>
          <w:rFonts w:ascii="Arial" w:hAnsi="Arial"/>
          <w:sz w:val="22"/>
        </w:rPr>
        <w:t xml:space="preserve">uirements </w:t>
      </w:r>
      <w:r w:rsidR="00FE14C9">
        <w:rPr>
          <w:rFonts w:ascii="Arial" w:hAnsi="Arial"/>
          <w:sz w:val="22"/>
        </w:rPr>
        <w:t xml:space="preserve">set forth in Article VII hereof </w:t>
      </w:r>
      <w:r w:rsidR="00017FFA">
        <w:rPr>
          <w:rFonts w:ascii="Arial" w:hAnsi="Arial"/>
          <w:sz w:val="22"/>
        </w:rPr>
        <w:t xml:space="preserve">have been </w:t>
      </w:r>
      <w:proofErr w:type="gramStart"/>
      <w:r w:rsidR="00017FFA">
        <w:rPr>
          <w:rFonts w:ascii="Arial" w:hAnsi="Arial"/>
          <w:sz w:val="22"/>
        </w:rPr>
        <w:t>satisfied</w:t>
      </w:r>
      <w:r w:rsidR="005352ED">
        <w:rPr>
          <w:rFonts w:ascii="Arial" w:hAnsi="Arial"/>
          <w:sz w:val="22"/>
        </w:rPr>
        <w:t>;</w:t>
      </w:r>
      <w:proofErr w:type="gramEnd"/>
    </w:p>
    <w:p w14:paraId="2B634959" w14:textId="77777777" w:rsidR="00043EEF" w:rsidRDefault="00017FFA" w:rsidP="00017FFA">
      <w:pPr>
        <w:tabs>
          <w:tab w:val="left" w:pos="6773"/>
        </w:tabs>
        <w:rPr>
          <w:rFonts w:ascii="Arial" w:hAnsi="Arial"/>
          <w:sz w:val="22"/>
        </w:rPr>
      </w:pPr>
      <w:r>
        <w:rPr>
          <w:rFonts w:ascii="Arial" w:hAnsi="Arial"/>
          <w:sz w:val="22"/>
        </w:rPr>
        <w:tab/>
      </w:r>
    </w:p>
    <w:p w14:paraId="1B01A19E" w14:textId="56E549EA" w:rsidR="00043EEF" w:rsidRPr="00F204A5" w:rsidRDefault="00867B03" w:rsidP="00867B03">
      <w:pPr>
        <w:ind w:left="2160" w:hanging="720"/>
        <w:jc w:val="both"/>
        <w:rPr>
          <w:rFonts w:ascii="Arial" w:hAnsi="Arial"/>
          <w:sz w:val="22"/>
        </w:rPr>
      </w:pPr>
      <w:r>
        <w:rPr>
          <w:rFonts w:ascii="Arial" w:hAnsi="Arial"/>
          <w:sz w:val="22"/>
        </w:rPr>
        <w:t>(2)</w:t>
      </w:r>
      <w:r>
        <w:rPr>
          <w:rFonts w:ascii="Arial" w:hAnsi="Arial"/>
          <w:sz w:val="22"/>
        </w:rPr>
        <w:tab/>
      </w:r>
      <w:r w:rsidR="00043EEF">
        <w:rPr>
          <w:rFonts w:ascii="Arial" w:hAnsi="Arial"/>
          <w:sz w:val="22"/>
        </w:rPr>
        <w:t xml:space="preserve">assign points to the project </w:t>
      </w:r>
      <w:r w:rsidR="00020179">
        <w:rPr>
          <w:rFonts w:ascii="Arial" w:hAnsi="Arial"/>
          <w:sz w:val="22"/>
        </w:rPr>
        <w:t xml:space="preserve">Application </w:t>
      </w:r>
      <w:r w:rsidR="00F204A5">
        <w:rPr>
          <w:rFonts w:ascii="Arial" w:hAnsi="Arial"/>
          <w:sz w:val="22"/>
        </w:rPr>
        <w:t xml:space="preserve">in accordance with </w:t>
      </w:r>
      <w:r w:rsidR="00043EEF">
        <w:rPr>
          <w:rFonts w:ascii="Arial" w:hAnsi="Arial"/>
          <w:sz w:val="22"/>
        </w:rPr>
        <w:t>the selection priorit</w:t>
      </w:r>
      <w:r w:rsidR="00017FFA">
        <w:rPr>
          <w:rFonts w:ascii="Arial" w:hAnsi="Arial"/>
          <w:sz w:val="22"/>
        </w:rPr>
        <w:t>ies</w:t>
      </w:r>
      <w:r w:rsidR="00043EEF">
        <w:rPr>
          <w:rFonts w:ascii="Arial" w:hAnsi="Arial"/>
          <w:sz w:val="22"/>
        </w:rPr>
        <w:t xml:space="preserve"> </w:t>
      </w:r>
      <w:r w:rsidR="00F204A5">
        <w:rPr>
          <w:rFonts w:ascii="Arial" w:hAnsi="Arial"/>
          <w:sz w:val="22"/>
        </w:rPr>
        <w:t>set</w:t>
      </w:r>
      <w:r w:rsidR="00151B30">
        <w:rPr>
          <w:rFonts w:ascii="Arial" w:hAnsi="Arial"/>
          <w:sz w:val="22"/>
        </w:rPr>
        <w:t xml:space="preserve"> </w:t>
      </w:r>
      <w:r w:rsidR="00F204A5">
        <w:rPr>
          <w:rFonts w:ascii="Arial" w:hAnsi="Arial"/>
          <w:sz w:val="22"/>
        </w:rPr>
        <w:t>fo</w:t>
      </w:r>
      <w:r w:rsidR="00151B30">
        <w:rPr>
          <w:rFonts w:ascii="Arial" w:hAnsi="Arial"/>
          <w:sz w:val="22"/>
        </w:rPr>
        <w:t>r</w:t>
      </w:r>
      <w:r w:rsidR="00F204A5">
        <w:rPr>
          <w:rFonts w:ascii="Arial" w:hAnsi="Arial"/>
          <w:sz w:val="22"/>
        </w:rPr>
        <w:t xml:space="preserve">th in </w:t>
      </w:r>
      <w:r>
        <w:rPr>
          <w:rFonts w:ascii="Arial" w:hAnsi="Arial"/>
          <w:sz w:val="22"/>
        </w:rPr>
        <w:t>Attachment 1 (</w:t>
      </w:r>
      <w:r w:rsidR="00017FFA">
        <w:rPr>
          <w:rFonts w:ascii="Arial" w:hAnsi="Arial"/>
          <w:sz w:val="22"/>
        </w:rPr>
        <w:t>Minneapolis</w:t>
      </w:r>
      <w:r>
        <w:rPr>
          <w:rFonts w:ascii="Arial" w:hAnsi="Arial"/>
          <w:sz w:val="22"/>
        </w:rPr>
        <w:t xml:space="preserve"> projects</w:t>
      </w:r>
      <w:r w:rsidR="00017FFA">
        <w:rPr>
          <w:rFonts w:ascii="Arial" w:hAnsi="Arial"/>
          <w:sz w:val="22"/>
        </w:rPr>
        <w:t>) and Attachmen</w:t>
      </w:r>
      <w:r>
        <w:rPr>
          <w:rFonts w:ascii="Arial" w:hAnsi="Arial"/>
          <w:sz w:val="22"/>
        </w:rPr>
        <w:t>t 2 (</w:t>
      </w:r>
      <w:r w:rsidR="00017FFA">
        <w:rPr>
          <w:rFonts w:ascii="Arial" w:hAnsi="Arial"/>
          <w:sz w:val="22"/>
        </w:rPr>
        <w:t>Saint Paul</w:t>
      </w:r>
      <w:r>
        <w:rPr>
          <w:rFonts w:ascii="Arial" w:hAnsi="Arial"/>
          <w:sz w:val="22"/>
        </w:rPr>
        <w:t xml:space="preserve"> </w:t>
      </w:r>
      <w:r w:rsidRPr="002A3ECC">
        <w:rPr>
          <w:rFonts w:ascii="Arial" w:hAnsi="Arial"/>
          <w:sz w:val="22"/>
        </w:rPr>
        <w:t>projects</w:t>
      </w:r>
      <w:r w:rsidR="0096121A" w:rsidRPr="002A3ECC">
        <w:rPr>
          <w:rFonts w:ascii="Arial" w:hAnsi="Arial"/>
          <w:sz w:val="22"/>
        </w:rPr>
        <w:t>)</w:t>
      </w:r>
      <w:r w:rsidR="00C37583" w:rsidRPr="002A3ECC">
        <w:rPr>
          <w:rFonts w:ascii="Arial" w:hAnsi="Arial"/>
          <w:sz w:val="22"/>
        </w:rPr>
        <w:t xml:space="preserve">, as </w:t>
      </w:r>
      <w:proofErr w:type="gramStart"/>
      <w:r w:rsidR="00C37583" w:rsidRPr="002A3ECC">
        <w:rPr>
          <w:rFonts w:ascii="Arial" w:hAnsi="Arial"/>
          <w:sz w:val="22"/>
        </w:rPr>
        <w:t>applicable</w:t>
      </w:r>
      <w:r w:rsidR="005352ED" w:rsidRPr="002A3ECC">
        <w:rPr>
          <w:rFonts w:ascii="Arial" w:hAnsi="Arial"/>
          <w:sz w:val="22"/>
        </w:rPr>
        <w:t>;</w:t>
      </w:r>
      <w:proofErr w:type="gramEnd"/>
    </w:p>
    <w:p w14:paraId="28A1EC69" w14:textId="77777777" w:rsidR="00043EEF" w:rsidRDefault="00043EEF" w:rsidP="00387FB2">
      <w:pPr>
        <w:jc w:val="both"/>
        <w:rPr>
          <w:rFonts w:ascii="Arial" w:hAnsi="Arial"/>
          <w:sz w:val="22"/>
        </w:rPr>
      </w:pPr>
    </w:p>
    <w:p w14:paraId="66F752F5" w14:textId="77777777" w:rsidR="00043EEF" w:rsidRPr="002A3ECC" w:rsidRDefault="00867B03" w:rsidP="00867B03">
      <w:pPr>
        <w:ind w:left="2160" w:hanging="720"/>
        <w:jc w:val="both"/>
        <w:rPr>
          <w:rFonts w:ascii="Arial" w:hAnsi="Arial"/>
          <w:sz w:val="22"/>
        </w:rPr>
      </w:pPr>
      <w:r w:rsidRPr="002A3ECC">
        <w:rPr>
          <w:rFonts w:ascii="Arial" w:hAnsi="Arial"/>
          <w:sz w:val="22"/>
        </w:rPr>
        <w:t>(3)</w:t>
      </w:r>
      <w:r w:rsidRPr="002A3ECC">
        <w:rPr>
          <w:rFonts w:ascii="Arial" w:hAnsi="Arial"/>
          <w:sz w:val="22"/>
        </w:rPr>
        <w:tab/>
      </w:r>
      <w:r w:rsidR="00043EEF" w:rsidRPr="002A3ECC">
        <w:rPr>
          <w:rFonts w:ascii="Arial" w:hAnsi="Arial"/>
          <w:sz w:val="22"/>
        </w:rPr>
        <w:t>determi</w:t>
      </w:r>
      <w:r w:rsidR="008C07BD" w:rsidRPr="002A3ECC">
        <w:rPr>
          <w:rFonts w:ascii="Arial" w:hAnsi="Arial"/>
          <w:sz w:val="22"/>
        </w:rPr>
        <w:t xml:space="preserve">ne the minimum amount of </w:t>
      </w:r>
      <w:r w:rsidR="00F204A5" w:rsidRPr="002A3ECC">
        <w:rPr>
          <w:rFonts w:ascii="Arial" w:hAnsi="Arial"/>
          <w:sz w:val="22"/>
        </w:rPr>
        <w:t>HTC</w:t>
      </w:r>
      <w:r w:rsidR="00043EEF" w:rsidRPr="002A3ECC">
        <w:rPr>
          <w:rFonts w:ascii="Arial" w:hAnsi="Arial"/>
          <w:sz w:val="22"/>
        </w:rPr>
        <w:t xml:space="preserve"> necessary to make </w:t>
      </w:r>
      <w:r w:rsidR="005E7E74" w:rsidRPr="002A3ECC">
        <w:rPr>
          <w:rFonts w:ascii="Arial" w:hAnsi="Arial"/>
          <w:sz w:val="22"/>
        </w:rPr>
        <w:t>the project</w:t>
      </w:r>
      <w:r w:rsidRPr="002A3ECC">
        <w:rPr>
          <w:rFonts w:ascii="Arial" w:hAnsi="Arial"/>
          <w:sz w:val="22"/>
        </w:rPr>
        <w:t xml:space="preserve"> f</w:t>
      </w:r>
      <w:r w:rsidR="00043EEF" w:rsidRPr="002A3ECC">
        <w:rPr>
          <w:rFonts w:ascii="Arial" w:hAnsi="Arial"/>
          <w:sz w:val="22"/>
        </w:rPr>
        <w:t xml:space="preserve">inancially feasible and viable as a qualified low-income project throughout the </w:t>
      </w:r>
      <w:r w:rsidRPr="002A3ECC">
        <w:rPr>
          <w:rFonts w:ascii="Arial" w:hAnsi="Arial"/>
          <w:sz w:val="22"/>
        </w:rPr>
        <w:t>10-</w:t>
      </w:r>
      <w:r w:rsidR="00F204A5" w:rsidRPr="002A3ECC">
        <w:rPr>
          <w:rFonts w:ascii="Arial" w:hAnsi="Arial"/>
          <w:sz w:val="22"/>
        </w:rPr>
        <w:t xml:space="preserve">year </w:t>
      </w:r>
      <w:r w:rsidR="00043EEF" w:rsidRPr="002A3ECC">
        <w:rPr>
          <w:rFonts w:ascii="Arial" w:hAnsi="Arial"/>
          <w:sz w:val="22"/>
        </w:rPr>
        <w:t>credit period</w:t>
      </w:r>
      <w:r w:rsidR="005352ED" w:rsidRPr="002A3ECC">
        <w:rPr>
          <w:rFonts w:ascii="Arial" w:hAnsi="Arial"/>
          <w:sz w:val="22"/>
        </w:rPr>
        <w:t xml:space="preserve">; and </w:t>
      </w:r>
    </w:p>
    <w:p w14:paraId="3936608A" w14:textId="77777777" w:rsidR="00043EEF" w:rsidRPr="002A3ECC" w:rsidRDefault="00043EEF" w:rsidP="00387FB2">
      <w:pPr>
        <w:ind w:left="2160" w:hanging="720"/>
        <w:jc w:val="both"/>
        <w:rPr>
          <w:rFonts w:ascii="Arial" w:hAnsi="Arial"/>
          <w:sz w:val="22"/>
        </w:rPr>
      </w:pPr>
    </w:p>
    <w:p w14:paraId="7622584F" w14:textId="77777777" w:rsidR="00F02378" w:rsidRPr="00C77D6C" w:rsidRDefault="558B1FFE" w:rsidP="00C77D6C">
      <w:pPr>
        <w:tabs>
          <w:tab w:val="decimal" w:pos="900"/>
          <w:tab w:val="left" w:pos="1440"/>
        </w:tabs>
        <w:spacing w:line="259" w:lineRule="auto"/>
        <w:ind w:left="2160" w:hanging="720"/>
        <w:jc w:val="both"/>
        <w:rPr>
          <w:rFonts w:ascii="Arial" w:hAnsi="Arial"/>
          <w:sz w:val="22"/>
          <w:szCs w:val="22"/>
        </w:rPr>
      </w:pPr>
      <w:r w:rsidRPr="271BA13E">
        <w:rPr>
          <w:rFonts w:ascii="Arial" w:hAnsi="Arial"/>
          <w:sz w:val="22"/>
          <w:szCs w:val="22"/>
        </w:rPr>
        <w:t>(4</w:t>
      </w:r>
      <w:r w:rsidR="14075B11" w:rsidRPr="271BA13E">
        <w:rPr>
          <w:rFonts w:ascii="Arial" w:hAnsi="Arial"/>
          <w:sz w:val="22"/>
          <w:szCs w:val="22"/>
        </w:rPr>
        <w:t>)</w:t>
      </w:r>
      <w:r w:rsidR="00043EEF" w:rsidRPr="002A3ECC">
        <w:rPr>
          <w:rFonts w:ascii="Arial" w:hAnsi="Arial"/>
          <w:sz w:val="22"/>
        </w:rPr>
        <w:tab/>
      </w:r>
      <w:r w:rsidR="14075B11" w:rsidRPr="271BA13E">
        <w:rPr>
          <w:rFonts w:ascii="Arial" w:hAnsi="Arial"/>
          <w:sz w:val="22"/>
          <w:szCs w:val="22"/>
        </w:rPr>
        <w:t xml:space="preserve">determine </w:t>
      </w:r>
      <w:r w:rsidR="5E7CB02E" w:rsidRPr="271BA13E">
        <w:rPr>
          <w:rFonts w:ascii="Arial" w:hAnsi="Arial"/>
          <w:sz w:val="22"/>
          <w:szCs w:val="22"/>
        </w:rPr>
        <w:t xml:space="preserve">whether the </w:t>
      </w:r>
      <w:r w:rsidR="14075B11" w:rsidRPr="271BA13E">
        <w:rPr>
          <w:rFonts w:ascii="Arial" w:hAnsi="Arial"/>
          <w:sz w:val="22"/>
          <w:szCs w:val="22"/>
        </w:rPr>
        <w:t xml:space="preserve">applicant is current on the payment of compliance monitoring </w:t>
      </w:r>
      <w:r w:rsidR="25507E1A" w:rsidRPr="271BA13E">
        <w:rPr>
          <w:rFonts w:ascii="Arial" w:hAnsi="Arial"/>
          <w:sz w:val="22"/>
          <w:szCs w:val="22"/>
        </w:rPr>
        <w:t>or other fees for projects for</w:t>
      </w:r>
      <w:r w:rsidR="14075B11" w:rsidRPr="271BA13E">
        <w:rPr>
          <w:rFonts w:ascii="Arial" w:hAnsi="Arial"/>
          <w:sz w:val="22"/>
          <w:szCs w:val="22"/>
        </w:rPr>
        <w:t xml:space="preserve"> which the B</w:t>
      </w:r>
      <w:r w:rsidR="538D83A7" w:rsidRPr="271BA13E">
        <w:rPr>
          <w:rFonts w:ascii="Arial" w:hAnsi="Arial"/>
          <w:sz w:val="22"/>
          <w:szCs w:val="22"/>
        </w:rPr>
        <w:t xml:space="preserve">oard has allocated prior </w:t>
      </w:r>
      <w:r w:rsidR="4C34769D" w:rsidRPr="271BA13E">
        <w:rPr>
          <w:rFonts w:ascii="Arial" w:hAnsi="Arial"/>
          <w:sz w:val="22"/>
          <w:szCs w:val="22"/>
        </w:rPr>
        <w:t>HTCs</w:t>
      </w:r>
      <w:r w:rsidR="14075B11" w:rsidRPr="271BA13E">
        <w:rPr>
          <w:rFonts w:ascii="Arial" w:hAnsi="Arial"/>
          <w:sz w:val="22"/>
          <w:szCs w:val="22"/>
        </w:rPr>
        <w:t xml:space="preserve"> to the applicant</w:t>
      </w:r>
      <w:r w:rsidR="442F9AB7" w:rsidRPr="271BA13E">
        <w:rPr>
          <w:rFonts w:ascii="Arial" w:hAnsi="Arial"/>
          <w:sz w:val="22"/>
          <w:szCs w:val="22"/>
        </w:rPr>
        <w:t>.</w:t>
      </w:r>
    </w:p>
    <w:p w14:paraId="1EA2C829" w14:textId="77777777" w:rsidR="00F02378" w:rsidRPr="00C77D6C" w:rsidRDefault="00F02378" w:rsidP="00C77D6C">
      <w:pPr>
        <w:spacing w:line="259" w:lineRule="auto"/>
        <w:ind w:left="2160" w:hanging="720"/>
        <w:jc w:val="both"/>
        <w:rPr>
          <w:rFonts w:ascii="Arial" w:hAnsi="Arial"/>
          <w:sz w:val="22"/>
          <w:szCs w:val="22"/>
        </w:rPr>
      </w:pPr>
    </w:p>
    <w:p w14:paraId="65E5914D" w14:textId="71765B73" w:rsidR="00043EEF" w:rsidRPr="002A3ECC" w:rsidRDefault="00867B03" w:rsidP="008C07BD">
      <w:pPr>
        <w:tabs>
          <w:tab w:val="decimal" w:pos="1620"/>
          <w:tab w:val="left" w:pos="2160"/>
        </w:tabs>
        <w:ind w:left="720"/>
        <w:jc w:val="both"/>
        <w:rPr>
          <w:rFonts w:ascii="Arial" w:hAnsi="Arial"/>
          <w:sz w:val="22"/>
        </w:rPr>
      </w:pPr>
      <w:r w:rsidRPr="002A3ECC">
        <w:rPr>
          <w:rFonts w:ascii="Arial" w:hAnsi="Arial"/>
          <w:sz w:val="22"/>
        </w:rPr>
        <w:t>C.</w:t>
      </w:r>
      <w:r w:rsidRPr="002A3ECC">
        <w:rPr>
          <w:rFonts w:ascii="Arial" w:hAnsi="Arial"/>
          <w:sz w:val="22"/>
        </w:rPr>
        <w:tab/>
        <w:t xml:space="preserve">         </w:t>
      </w:r>
      <w:r w:rsidR="00043EEF" w:rsidRPr="002A3ECC">
        <w:rPr>
          <w:rFonts w:ascii="Arial" w:hAnsi="Arial"/>
          <w:b/>
          <w:sz w:val="22"/>
          <w:u w:val="single"/>
        </w:rPr>
        <w:t>Special Tax Counsel</w:t>
      </w:r>
      <w:r w:rsidR="00043EEF" w:rsidRPr="002A3ECC">
        <w:rPr>
          <w:rFonts w:ascii="Arial" w:hAnsi="Arial"/>
          <w:sz w:val="22"/>
        </w:rPr>
        <w:t xml:space="preserve"> (the “Special Tax Counsel”) appointed by </w:t>
      </w:r>
      <w:r w:rsidR="00C37583" w:rsidRPr="002A3ECC">
        <w:rPr>
          <w:rFonts w:ascii="Arial" w:hAnsi="Arial"/>
          <w:sz w:val="22"/>
        </w:rPr>
        <w:t xml:space="preserve">The Board </w:t>
      </w:r>
      <w:r w:rsidR="00043EEF" w:rsidRPr="002A3ECC">
        <w:rPr>
          <w:rFonts w:ascii="Arial" w:hAnsi="Arial"/>
          <w:sz w:val="22"/>
        </w:rPr>
        <w:t>for Saint Paul projects and for Minneapolis</w:t>
      </w:r>
      <w:r w:rsidR="008859AB" w:rsidRPr="002A3ECC">
        <w:rPr>
          <w:rFonts w:ascii="Arial" w:hAnsi="Arial"/>
          <w:sz w:val="22"/>
        </w:rPr>
        <w:t xml:space="preserve"> projects will also </w:t>
      </w:r>
      <w:r w:rsidR="00043EEF" w:rsidRPr="002A3ECC">
        <w:rPr>
          <w:rFonts w:ascii="Arial" w:hAnsi="Arial"/>
          <w:sz w:val="22"/>
        </w:rPr>
        <w:t xml:space="preserve">review </w:t>
      </w:r>
      <w:r w:rsidR="008859AB" w:rsidRPr="002A3ECC">
        <w:rPr>
          <w:rFonts w:ascii="Arial" w:hAnsi="Arial"/>
          <w:sz w:val="22"/>
        </w:rPr>
        <w:t xml:space="preserve">the </w:t>
      </w:r>
      <w:r w:rsidR="001131F5" w:rsidRPr="002A3ECC">
        <w:rPr>
          <w:rFonts w:ascii="Arial" w:hAnsi="Arial"/>
          <w:sz w:val="22"/>
        </w:rPr>
        <w:t>A</w:t>
      </w:r>
      <w:r w:rsidR="00043EEF" w:rsidRPr="002A3ECC">
        <w:rPr>
          <w:rFonts w:ascii="Arial" w:hAnsi="Arial"/>
          <w:sz w:val="22"/>
        </w:rPr>
        <w:t>pplications.</w:t>
      </w:r>
      <w:r w:rsidR="00020179" w:rsidRPr="002A3ECC">
        <w:rPr>
          <w:rFonts w:ascii="Arial" w:hAnsi="Arial"/>
          <w:sz w:val="22"/>
        </w:rPr>
        <w:t xml:space="preserve">  </w:t>
      </w:r>
    </w:p>
    <w:p w14:paraId="330430F5" w14:textId="77777777" w:rsidR="008C07BD" w:rsidRPr="002A3ECC" w:rsidRDefault="008C07BD" w:rsidP="008C07BD">
      <w:pPr>
        <w:tabs>
          <w:tab w:val="decimal" w:pos="1620"/>
          <w:tab w:val="left" w:pos="2160"/>
        </w:tabs>
        <w:ind w:left="720"/>
        <w:jc w:val="both"/>
        <w:rPr>
          <w:rFonts w:ascii="Arial" w:hAnsi="Arial"/>
          <w:sz w:val="22"/>
        </w:rPr>
      </w:pPr>
    </w:p>
    <w:p w14:paraId="42D6F5C1" w14:textId="77777777" w:rsidR="008859AB" w:rsidRDefault="00867B03" w:rsidP="00387FB2">
      <w:pPr>
        <w:tabs>
          <w:tab w:val="decimal" w:pos="1620"/>
          <w:tab w:val="left" w:pos="2160"/>
        </w:tabs>
        <w:ind w:left="720"/>
        <w:jc w:val="both"/>
        <w:rPr>
          <w:rFonts w:ascii="Arial" w:hAnsi="Arial"/>
          <w:sz w:val="22"/>
        </w:rPr>
      </w:pPr>
      <w:r w:rsidRPr="002A3ECC">
        <w:rPr>
          <w:rFonts w:ascii="Arial" w:hAnsi="Arial"/>
          <w:sz w:val="22"/>
        </w:rPr>
        <w:t xml:space="preserve">D.       </w:t>
      </w:r>
      <w:r w:rsidR="00070C79" w:rsidRPr="002A3ECC">
        <w:rPr>
          <w:rFonts w:ascii="Arial" w:hAnsi="Arial"/>
          <w:b/>
          <w:sz w:val="22"/>
          <w:u w:val="single"/>
        </w:rPr>
        <w:t xml:space="preserve">Applicants </w:t>
      </w:r>
      <w:r w:rsidR="001131F5" w:rsidRPr="002A3ECC">
        <w:rPr>
          <w:rFonts w:ascii="Arial" w:hAnsi="Arial"/>
          <w:b/>
          <w:sz w:val="22"/>
          <w:u w:val="single"/>
        </w:rPr>
        <w:t>submitting Applications for projects located in Minneapolis</w:t>
      </w:r>
      <w:r w:rsidR="001131F5" w:rsidRPr="002A3ECC">
        <w:rPr>
          <w:rFonts w:ascii="Arial" w:hAnsi="Arial"/>
          <w:sz w:val="22"/>
        </w:rPr>
        <w:t xml:space="preserve"> shall present the project</w:t>
      </w:r>
      <w:r w:rsidR="001131F5">
        <w:rPr>
          <w:rFonts w:ascii="Arial" w:hAnsi="Arial"/>
          <w:sz w:val="22"/>
        </w:rPr>
        <w:t xml:space="preserve"> to the applicable neighborhood group for review, comment and recommendations</w:t>
      </w:r>
      <w:r w:rsidR="00387FB2">
        <w:rPr>
          <w:rFonts w:ascii="Arial" w:hAnsi="Arial"/>
          <w:sz w:val="22"/>
        </w:rPr>
        <w:t>, which recommendations shall then be</w:t>
      </w:r>
      <w:r w:rsidR="001131F5">
        <w:rPr>
          <w:rFonts w:ascii="Arial" w:hAnsi="Arial"/>
          <w:sz w:val="22"/>
        </w:rPr>
        <w:t xml:space="preserve"> submitted </w:t>
      </w:r>
      <w:r w:rsidR="005352ED">
        <w:rPr>
          <w:rFonts w:ascii="Arial" w:hAnsi="Arial"/>
          <w:sz w:val="22"/>
        </w:rPr>
        <w:t xml:space="preserve">as part of the Application to CPED. </w:t>
      </w:r>
    </w:p>
    <w:p w14:paraId="4B9EC348" w14:textId="77777777" w:rsidR="008859AB" w:rsidRDefault="008859AB">
      <w:pPr>
        <w:tabs>
          <w:tab w:val="decimal" w:pos="1620"/>
          <w:tab w:val="left" w:pos="2160"/>
        </w:tabs>
        <w:ind w:left="720"/>
        <w:rPr>
          <w:rFonts w:ascii="Arial" w:hAnsi="Arial"/>
          <w:sz w:val="22"/>
        </w:rPr>
      </w:pPr>
    </w:p>
    <w:p w14:paraId="24B676A7" w14:textId="77777777" w:rsidR="00043EEF" w:rsidRDefault="00867B03" w:rsidP="00387FB2">
      <w:pPr>
        <w:tabs>
          <w:tab w:val="decimal" w:pos="1620"/>
          <w:tab w:val="left" w:pos="2160"/>
        </w:tabs>
        <w:ind w:left="720"/>
        <w:jc w:val="both"/>
        <w:rPr>
          <w:rFonts w:ascii="Arial" w:hAnsi="Arial"/>
          <w:sz w:val="22"/>
        </w:rPr>
      </w:pPr>
      <w:r>
        <w:rPr>
          <w:rFonts w:ascii="Arial" w:hAnsi="Arial"/>
          <w:sz w:val="22"/>
        </w:rPr>
        <w:tab/>
        <w:t xml:space="preserve">E.        </w:t>
      </w:r>
      <w:r w:rsidR="00070C79" w:rsidRPr="00867B03">
        <w:rPr>
          <w:rFonts w:ascii="Arial" w:hAnsi="Arial"/>
          <w:b/>
          <w:sz w:val="22"/>
          <w:u w:val="single"/>
        </w:rPr>
        <w:t xml:space="preserve">Applicants </w:t>
      </w:r>
      <w:r w:rsidR="001131F5" w:rsidRPr="00867B03">
        <w:rPr>
          <w:rFonts w:ascii="Arial" w:hAnsi="Arial"/>
          <w:b/>
          <w:sz w:val="22"/>
          <w:u w:val="single"/>
        </w:rPr>
        <w:t>submitting Applications for projects located in Saint Paul</w:t>
      </w:r>
      <w:r w:rsidR="001131F5">
        <w:rPr>
          <w:rFonts w:ascii="Arial" w:hAnsi="Arial"/>
          <w:sz w:val="22"/>
        </w:rPr>
        <w:t xml:space="preserve"> shall present the project to the applicable Citizen Participation District Council for revi</w:t>
      </w:r>
      <w:r w:rsidR="00387FB2">
        <w:rPr>
          <w:rFonts w:ascii="Arial" w:hAnsi="Arial"/>
          <w:sz w:val="22"/>
        </w:rPr>
        <w:t xml:space="preserve">ew, comment and recommendations, which recommendations shall then </w:t>
      </w:r>
      <w:r w:rsidR="001131F5">
        <w:rPr>
          <w:rFonts w:ascii="Arial" w:hAnsi="Arial"/>
          <w:sz w:val="22"/>
        </w:rPr>
        <w:t xml:space="preserve">be submitted </w:t>
      </w:r>
      <w:r w:rsidR="005352ED">
        <w:rPr>
          <w:rFonts w:ascii="Arial" w:hAnsi="Arial"/>
          <w:sz w:val="22"/>
        </w:rPr>
        <w:t xml:space="preserve">as part of the Application process </w:t>
      </w:r>
      <w:r w:rsidR="001131F5">
        <w:rPr>
          <w:rFonts w:ascii="Arial" w:hAnsi="Arial"/>
          <w:sz w:val="22"/>
        </w:rPr>
        <w:t>to the HRA</w:t>
      </w:r>
      <w:r w:rsidR="005352ED">
        <w:rPr>
          <w:rFonts w:ascii="Arial" w:hAnsi="Arial"/>
          <w:sz w:val="22"/>
        </w:rPr>
        <w:t>.</w:t>
      </w:r>
      <w:r w:rsidR="001131F5">
        <w:rPr>
          <w:rFonts w:ascii="Arial" w:hAnsi="Arial"/>
          <w:sz w:val="22"/>
        </w:rPr>
        <w:t xml:space="preserve"> </w:t>
      </w:r>
    </w:p>
    <w:p w14:paraId="06F2A1D0" w14:textId="77777777" w:rsidR="00043EEF" w:rsidRDefault="00043EEF" w:rsidP="2C14DF09">
      <w:pPr>
        <w:rPr>
          <w:rFonts w:ascii="Arial" w:hAnsi="Arial"/>
          <w:sz w:val="22"/>
          <w:szCs w:val="22"/>
        </w:rPr>
      </w:pPr>
    </w:p>
    <w:p w14:paraId="2536646F" w14:textId="77777777" w:rsidR="00043EEF" w:rsidRDefault="00F204A5" w:rsidP="2C14DF09">
      <w:pPr>
        <w:pStyle w:val="BodyTextIndent3"/>
        <w:jc w:val="both"/>
        <w:rPr>
          <w:rFonts w:ascii="Arial" w:hAnsi="Arial"/>
          <w:sz w:val="22"/>
          <w:szCs w:val="22"/>
        </w:rPr>
      </w:pPr>
      <w:r>
        <w:rPr>
          <w:rFonts w:ascii="Arial" w:hAnsi="Arial"/>
          <w:sz w:val="22"/>
        </w:rPr>
        <w:tab/>
      </w:r>
      <w:r w:rsidR="558B1FFE" w:rsidRPr="2C14DF09">
        <w:rPr>
          <w:rFonts w:ascii="Arial" w:hAnsi="Arial"/>
          <w:sz w:val="22"/>
          <w:szCs w:val="22"/>
        </w:rPr>
        <w:t xml:space="preserve">F.       </w:t>
      </w:r>
      <w:r w:rsidR="4C34769D" w:rsidRPr="2C14DF09">
        <w:rPr>
          <w:rFonts w:ascii="Arial" w:hAnsi="Arial"/>
          <w:b/>
          <w:bCs/>
          <w:sz w:val="22"/>
          <w:szCs w:val="22"/>
          <w:u w:val="single"/>
        </w:rPr>
        <w:t xml:space="preserve">The </w:t>
      </w:r>
      <w:proofErr w:type="gramStart"/>
      <w:r w:rsidR="4C34769D" w:rsidRPr="2C14DF09">
        <w:rPr>
          <w:rFonts w:ascii="Arial" w:hAnsi="Arial"/>
          <w:b/>
          <w:bCs/>
          <w:sz w:val="22"/>
          <w:szCs w:val="22"/>
          <w:u w:val="single"/>
        </w:rPr>
        <w:t>Mayor</w:t>
      </w:r>
      <w:proofErr w:type="gramEnd"/>
      <w:r w:rsidR="4C34769D" w:rsidRPr="2C14DF09">
        <w:rPr>
          <w:rFonts w:ascii="Arial" w:hAnsi="Arial"/>
          <w:b/>
          <w:bCs/>
          <w:sz w:val="22"/>
          <w:szCs w:val="22"/>
          <w:u w:val="single"/>
        </w:rPr>
        <w:t xml:space="preserve"> of </w:t>
      </w:r>
      <w:r w:rsidR="14075B11" w:rsidRPr="2C14DF09">
        <w:rPr>
          <w:rFonts w:ascii="Arial" w:hAnsi="Arial"/>
          <w:b/>
          <w:bCs/>
          <w:sz w:val="22"/>
          <w:szCs w:val="22"/>
          <w:u w:val="single"/>
        </w:rPr>
        <w:t>the appropriate City</w:t>
      </w:r>
      <w:r w:rsidR="14075B11" w:rsidRPr="2C14DF09">
        <w:rPr>
          <w:rFonts w:ascii="Arial" w:hAnsi="Arial"/>
          <w:sz w:val="22"/>
          <w:szCs w:val="22"/>
        </w:rPr>
        <w:t xml:space="preserve"> will be notified</w:t>
      </w:r>
      <w:r w:rsidR="6E1DE400" w:rsidRPr="2C14DF09">
        <w:rPr>
          <w:rFonts w:ascii="Arial" w:hAnsi="Arial"/>
          <w:sz w:val="22"/>
          <w:szCs w:val="22"/>
        </w:rPr>
        <w:t xml:space="preserve"> of the receipt of an Application for a project in their jurisdiction</w:t>
      </w:r>
      <w:r w:rsidR="14075B11" w:rsidRPr="2C14DF09">
        <w:rPr>
          <w:rFonts w:ascii="Arial" w:hAnsi="Arial"/>
          <w:sz w:val="22"/>
          <w:szCs w:val="22"/>
        </w:rPr>
        <w:t xml:space="preserve"> by </w:t>
      </w:r>
      <w:r w:rsidR="76720515" w:rsidRPr="2C14DF09">
        <w:rPr>
          <w:rFonts w:ascii="Arial" w:hAnsi="Arial"/>
          <w:sz w:val="22"/>
          <w:szCs w:val="22"/>
        </w:rPr>
        <w:t xml:space="preserve">the appropriate </w:t>
      </w:r>
      <w:r w:rsidR="14075B11" w:rsidRPr="2C14DF09">
        <w:rPr>
          <w:rFonts w:ascii="Arial" w:hAnsi="Arial"/>
          <w:sz w:val="22"/>
          <w:szCs w:val="22"/>
        </w:rPr>
        <w:t xml:space="preserve">staff and provided </w:t>
      </w:r>
      <w:r w:rsidR="4975A2F3" w:rsidRPr="2C14DF09">
        <w:rPr>
          <w:rFonts w:ascii="Arial" w:hAnsi="Arial"/>
          <w:sz w:val="22"/>
          <w:szCs w:val="22"/>
        </w:rPr>
        <w:t xml:space="preserve">with </w:t>
      </w:r>
      <w:r w:rsidR="14075B11" w:rsidRPr="2C14DF09">
        <w:rPr>
          <w:rFonts w:ascii="Arial" w:hAnsi="Arial"/>
          <w:sz w:val="22"/>
          <w:szCs w:val="22"/>
        </w:rPr>
        <w:t>a reasonable opport</w:t>
      </w:r>
      <w:r w:rsidR="4975A2F3" w:rsidRPr="2C14DF09">
        <w:rPr>
          <w:rFonts w:ascii="Arial" w:hAnsi="Arial"/>
          <w:sz w:val="22"/>
          <w:szCs w:val="22"/>
        </w:rPr>
        <w:t>unity to comment on the project</w:t>
      </w:r>
      <w:r w:rsidR="14075B11" w:rsidRPr="2C14DF09">
        <w:rPr>
          <w:rFonts w:ascii="Arial" w:hAnsi="Arial"/>
          <w:sz w:val="22"/>
          <w:szCs w:val="22"/>
        </w:rPr>
        <w:t>.</w:t>
      </w:r>
    </w:p>
    <w:p w14:paraId="32B7AED2" w14:textId="77777777" w:rsidR="00043EEF" w:rsidRDefault="00043EEF">
      <w:pPr>
        <w:rPr>
          <w:rFonts w:ascii="Arial" w:hAnsi="Arial"/>
          <w:sz w:val="22"/>
        </w:rPr>
      </w:pPr>
    </w:p>
    <w:p w14:paraId="4BBA867B" w14:textId="7D2A96AB" w:rsidR="00F204A5" w:rsidRDefault="00867B03" w:rsidP="00D04456">
      <w:pPr>
        <w:pStyle w:val="BodyTextIndent3"/>
        <w:jc w:val="both"/>
        <w:rPr>
          <w:rFonts w:ascii="Arial" w:hAnsi="Arial"/>
          <w:sz w:val="22"/>
        </w:rPr>
      </w:pPr>
      <w:r>
        <w:rPr>
          <w:rFonts w:ascii="Arial" w:hAnsi="Arial"/>
          <w:sz w:val="22"/>
        </w:rPr>
        <w:t xml:space="preserve">G.      </w:t>
      </w:r>
      <w:r w:rsidR="00043EEF">
        <w:rPr>
          <w:rFonts w:ascii="Arial" w:hAnsi="Arial"/>
          <w:sz w:val="22"/>
        </w:rPr>
        <w:tab/>
        <w:t xml:space="preserve">The </w:t>
      </w:r>
      <w:r w:rsidR="00387FB2">
        <w:rPr>
          <w:rFonts w:ascii="Arial" w:hAnsi="Arial"/>
          <w:sz w:val="22"/>
        </w:rPr>
        <w:t xml:space="preserve">Minneapolis Council or the </w:t>
      </w:r>
      <w:r w:rsidR="00043EEF">
        <w:rPr>
          <w:rFonts w:ascii="Arial" w:hAnsi="Arial"/>
          <w:sz w:val="22"/>
        </w:rPr>
        <w:t xml:space="preserve">HRA Board of Commissioners, as applicable, upon recommendation from their respective staffs, shall </w:t>
      </w:r>
      <w:proofErr w:type="gramStart"/>
      <w:r w:rsidR="00043EEF">
        <w:rPr>
          <w:rFonts w:ascii="Arial" w:hAnsi="Arial"/>
          <w:sz w:val="22"/>
        </w:rPr>
        <w:t>make a determination</w:t>
      </w:r>
      <w:proofErr w:type="gramEnd"/>
      <w:r w:rsidR="00043EEF">
        <w:rPr>
          <w:rFonts w:ascii="Arial" w:hAnsi="Arial"/>
          <w:sz w:val="22"/>
        </w:rPr>
        <w:t xml:space="preserve"> to approve or </w:t>
      </w:r>
      <w:r w:rsidR="00043EEF">
        <w:rPr>
          <w:rFonts w:ascii="Arial" w:hAnsi="Arial"/>
          <w:sz w:val="22"/>
        </w:rPr>
        <w:lastRenderedPageBreak/>
        <w:t xml:space="preserve">deny </w:t>
      </w:r>
      <w:r w:rsidR="00F204A5">
        <w:rPr>
          <w:rFonts w:ascii="Arial" w:hAnsi="Arial"/>
          <w:sz w:val="22"/>
        </w:rPr>
        <w:t xml:space="preserve">a commitment </w:t>
      </w:r>
      <w:r w:rsidR="00387FB2">
        <w:rPr>
          <w:rFonts w:ascii="Arial" w:hAnsi="Arial"/>
          <w:sz w:val="22"/>
        </w:rPr>
        <w:t xml:space="preserve">for </w:t>
      </w:r>
      <w:r w:rsidR="00F204A5">
        <w:rPr>
          <w:rFonts w:ascii="Arial" w:hAnsi="Arial"/>
          <w:sz w:val="22"/>
        </w:rPr>
        <w:t>HTC</w:t>
      </w:r>
      <w:r w:rsidR="00E007B3">
        <w:rPr>
          <w:rFonts w:ascii="Arial" w:hAnsi="Arial"/>
          <w:sz w:val="22"/>
        </w:rPr>
        <w:t xml:space="preserve"> for a </w:t>
      </w:r>
      <w:r w:rsidR="00043EEF">
        <w:rPr>
          <w:rFonts w:ascii="Arial" w:hAnsi="Arial"/>
          <w:sz w:val="22"/>
        </w:rPr>
        <w:t xml:space="preserve">project pursuant to </w:t>
      </w:r>
      <w:r w:rsidR="00043EEF" w:rsidRPr="00D04456">
        <w:rPr>
          <w:rFonts w:ascii="Arial" w:hAnsi="Arial"/>
          <w:sz w:val="22"/>
        </w:rPr>
        <w:t xml:space="preserve">Article VIII and </w:t>
      </w:r>
      <w:r w:rsidR="00D04456" w:rsidRPr="00D04456">
        <w:rPr>
          <w:rFonts w:ascii="Arial" w:hAnsi="Arial"/>
          <w:sz w:val="22"/>
        </w:rPr>
        <w:t>the appropriate Attachment 1 or 2</w:t>
      </w:r>
      <w:r w:rsidR="00D04456">
        <w:rPr>
          <w:rFonts w:ascii="Arial" w:hAnsi="Arial"/>
          <w:b/>
          <w:sz w:val="22"/>
        </w:rPr>
        <w:t xml:space="preserve"> </w:t>
      </w:r>
      <w:r w:rsidR="00D04456">
        <w:rPr>
          <w:rFonts w:ascii="Arial" w:hAnsi="Arial"/>
          <w:sz w:val="22"/>
        </w:rPr>
        <w:t>o</w:t>
      </w:r>
      <w:r w:rsidR="00043EEF">
        <w:rPr>
          <w:rFonts w:ascii="Arial" w:hAnsi="Arial"/>
          <w:sz w:val="22"/>
        </w:rPr>
        <w:t xml:space="preserve">f this </w:t>
      </w:r>
      <w:r w:rsidR="008C07BD">
        <w:rPr>
          <w:rFonts w:ascii="Arial" w:hAnsi="Arial"/>
          <w:sz w:val="22"/>
        </w:rPr>
        <w:t>QAP</w:t>
      </w:r>
      <w:r w:rsidR="00043EEF">
        <w:rPr>
          <w:rFonts w:ascii="Arial" w:hAnsi="Arial"/>
          <w:sz w:val="22"/>
        </w:rPr>
        <w:t xml:space="preserve"> and the Procedural Manual.  Such recomme</w:t>
      </w:r>
      <w:r>
        <w:rPr>
          <w:rFonts w:ascii="Arial" w:hAnsi="Arial"/>
          <w:sz w:val="22"/>
        </w:rPr>
        <w:t xml:space="preserve">ndations shall be binding upon </w:t>
      </w:r>
      <w:r w:rsidR="00043EEF">
        <w:rPr>
          <w:rFonts w:ascii="Arial" w:hAnsi="Arial"/>
          <w:sz w:val="22"/>
        </w:rPr>
        <w:t>the Board.</w:t>
      </w:r>
    </w:p>
    <w:p w14:paraId="4DC5EE81" w14:textId="77777777" w:rsidR="00F204A5" w:rsidRDefault="00F204A5">
      <w:pPr>
        <w:rPr>
          <w:rFonts w:ascii="Arial" w:hAnsi="Arial"/>
          <w:sz w:val="22"/>
        </w:rPr>
      </w:pPr>
    </w:p>
    <w:p w14:paraId="3D5BB231" w14:textId="77777777" w:rsidR="005B7D2A" w:rsidRDefault="005B7D2A">
      <w:pPr>
        <w:pStyle w:val="BodyTextIndent3"/>
        <w:rPr>
          <w:rFonts w:ascii="Arial" w:hAnsi="Arial"/>
          <w:sz w:val="22"/>
        </w:rPr>
      </w:pPr>
    </w:p>
    <w:p w14:paraId="01CFC7CA" w14:textId="77777777" w:rsidR="00043EEF" w:rsidRDefault="00FE14C9">
      <w:pPr>
        <w:pStyle w:val="Heading1"/>
        <w:jc w:val="center"/>
        <w:rPr>
          <w:rFonts w:ascii="Arial" w:hAnsi="Arial"/>
          <w:b/>
          <w:sz w:val="22"/>
        </w:rPr>
      </w:pPr>
      <w:r>
        <w:rPr>
          <w:rFonts w:ascii="Arial" w:hAnsi="Arial"/>
          <w:b/>
          <w:sz w:val="22"/>
        </w:rPr>
        <w:t>ARTICLE VII</w:t>
      </w:r>
    </w:p>
    <w:p w14:paraId="1B303686" w14:textId="77777777" w:rsidR="00043EEF" w:rsidRDefault="00043EEF">
      <w:pPr>
        <w:pStyle w:val="Heading1"/>
        <w:jc w:val="center"/>
        <w:rPr>
          <w:rFonts w:ascii="Arial" w:hAnsi="Arial"/>
          <w:b/>
          <w:sz w:val="22"/>
        </w:rPr>
      </w:pPr>
      <w:r>
        <w:rPr>
          <w:rFonts w:ascii="Arial" w:hAnsi="Arial"/>
          <w:b/>
          <w:sz w:val="22"/>
        </w:rPr>
        <w:t xml:space="preserve">Procedure for Selecting </w:t>
      </w:r>
      <w:proofErr w:type="gramStart"/>
      <w:r>
        <w:rPr>
          <w:rFonts w:ascii="Arial" w:hAnsi="Arial"/>
          <w:b/>
          <w:sz w:val="22"/>
        </w:rPr>
        <w:t>Projects;</w:t>
      </w:r>
      <w:proofErr w:type="gramEnd"/>
    </w:p>
    <w:p w14:paraId="23A8779E" w14:textId="77777777" w:rsidR="00043EEF" w:rsidRDefault="00043EEF">
      <w:pPr>
        <w:pStyle w:val="Heading1"/>
        <w:jc w:val="center"/>
        <w:rPr>
          <w:rFonts w:ascii="Arial" w:hAnsi="Arial"/>
          <w:b/>
          <w:sz w:val="22"/>
        </w:rPr>
      </w:pPr>
      <w:r>
        <w:rPr>
          <w:rFonts w:ascii="Arial" w:hAnsi="Arial"/>
          <w:b/>
          <w:sz w:val="22"/>
        </w:rPr>
        <w:t>Project Threshold Requirements</w:t>
      </w:r>
    </w:p>
    <w:p w14:paraId="1101B714" w14:textId="77777777" w:rsidR="00B91EAF" w:rsidRPr="00B91EAF" w:rsidRDefault="00B91EAF" w:rsidP="00B91EAF"/>
    <w:p w14:paraId="09D9231B" w14:textId="77777777" w:rsidR="004D1C31" w:rsidRPr="004D1C31" w:rsidRDefault="004D1C31" w:rsidP="004D1C31"/>
    <w:p w14:paraId="6A24760F" w14:textId="77777777" w:rsidR="00D04456" w:rsidRDefault="00043EEF" w:rsidP="00D04456">
      <w:pPr>
        <w:tabs>
          <w:tab w:val="decimal" w:pos="900"/>
          <w:tab w:val="left" w:pos="1440"/>
        </w:tabs>
        <w:jc w:val="both"/>
        <w:rPr>
          <w:rFonts w:ascii="Arial" w:hAnsi="Arial"/>
          <w:sz w:val="22"/>
        </w:rPr>
      </w:pPr>
      <w:r>
        <w:rPr>
          <w:rFonts w:ascii="Arial" w:hAnsi="Arial"/>
          <w:sz w:val="22"/>
        </w:rPr>
        <w:tab/>
        <w:t>A.</w:t>
      </w:r>
      <w:r>
        <w:rPr>
          <w:rFonts w:ascii="Arial" w:hAnsi="Arial"/>
          <w:sz w:val="22"/>
        </w:rPr>
        <w:tab/>
      </w:r>
      <w:r w:rsidR="006953AB">
        <w:rPr>
          <w:rFonts w:ascii="Arial" w:hAnsi="Arial"/>
          <w:sz w:val="22"/>
        </w:rPr>
        <w:t xml:space="preserve">For </w:t>
      </w:r>
      <w:r w:rsidR="0032518F">
        <w:rPr>
          <w:rFonts w:ascii="Arial" w:hAnsi="Arial"/>
          <w:sz w:val="22"/>
        </w:rPr>
        <w:t xml:space="preserve">each year in which </w:t>
      </w:r>
      <w:r w:rsidR="00E007B3">
        <w:rPr>
          <w:rFonts w:ascii="Arial" w:hAnsi="Arial"/>
          <w:sz w:val="22"/>
        </w:rPr>
        <w:t xml:space="preserve">9% </w:t>
      </w:r>
      <w:r w:rsidR="006953AB">
        <w:rPr>
          <w:rFonts w:ascii="Arial" w:hAnsi="Arial"/>
          <w:sz w:val="22"/>
        </w:rPr>
        <w:t>HTCs</w:t>
      </w:r>
      <w:r w:rsidR="0027069F">
        <w:rPr>
          <w:rFonts w:ascii="Arial" w:hAnsi="Arial"/>
          <w:sz w:val="22"/>
        </w:rPr>
        <w:t xml:space="preserve"> </w:t>
      </w:r>
      <w:r w:rsidR="00D04456">
        <w:rPr>
          <w:rFonts w:ascii="Arial" w:hAnsi="Arial"/>
          <w:sz w:val="22"/>
        </w:rPr>
        <w:t xml:space="preserve">are to be </w:t>
      </w:r>
      <w:r>
        <w:rPr>
          <w:rFonts w:ascii="Arial" w:hAnsi="Arial"/>
          <w:sz w:val="22"/>
        </w:rPr>
        <w:t>allocate</w:t>
      </w:r>
      <w:r w:rsidR="00E007B3">
        <w:rPr>
          <w:rFonts w:ascii="Arial" w:hAnsi="Arial"/>
          <w:sz w:val="22"/>
        </w:rPr>
        <w:t>d</w:t>
      </w:r>
      <w:r w:rsidR="00D04456">
        <w:rPr>
          <w:rFonts w:ascii="Arial" w:hAnsi="Arial"/>
          <w:sz w:val="22"/>
        </w:rPr>
        <w:t xml:space="preserve">, </w:t>
      </w:r>
      <w:r w:rsidR="00E007B3">
        <w:rPr>
          <w:rFonts w:ascii="Arial" w:hAnsi="Arial"/>
          <w:sz w:val="22"/>
        </w:rPr>
        <w:t>there will be</w:t>
      </w:r>
      <w:r w:rsidR="006953AB">
        <w:rPr>
          <w:rFonts w:ascii="Arial" w:hAnsi="Arial"/>
          <w:sz w:val="22"/>
        </w:rPr>
        <w:t xml:space="preserve"> a</w:t>
      </w:r>
      <w:r w:rsidR="00E007B3">
        <w:rPr>
          <w:rFonts w:ascii="Arial" w:hAnsi="Arial"/>
          <w:sz w:val="22"/>
        </w:rPr>
        <w:t xml:space="preserve"> funding </w:t>
      </w:r>
      <w:r w:rsidR="0032518F">
        <w:rPr>
          <w:rFonts w:ascii="Arial" w:hAnsi="Arial"/>
          <w:sz w:val="22"/>
        </w:rPr>
        <w:t xml:space="preserve">round </w:t>
      </w:r>
      <w:r>
        <w:rPr>
          <w:rFonts w:ascii="Arial" w:hAnsi="Arial"/>
          <w:sz w:val="22"/>
        </w:rPr>
        <w:t xml:space="preserve">for </w:t>
      </w:r>
      <w:r w:rsidR="00C15282">
        <w:rPr>
          <w:rFonts w:ascii="Arial" w:hAnsi="Arial"/>
          <w:sz w:val="22"/>
        </w:rPr>
        <w:t xml:space="preserve">9% </w:t>
      </w:r>
      <w:r w:rsidR="006953AB">
        <w:rPr>
          <w:rFonts w:ascii="Arial" w:hAnsi="Arial"/>
          <w:sz w:val="22"/>
        </w:rPr>
        <w:t>HTC</w:t>
      </w:r>
      <w:r w:rsidR="0027069F">
        <w:rPr>
          <w:rFonts w:ascii="Arial" w:hAnsi="Arial"/>
          <w:sz w:val="22"/>
        </w:rPr>
        <w:t xml:space="preserve"> (“Round 1”)</w:t>
      </w:r>
      <w:r>
        <w:rPr>
          <w:rFonts w:ascii="Arial" w:hAnsi="Arial"/>
          <w:sz w:val="22"/>
        </w:rPr>
        <w:t>, which shall coincide with the “first round” allocati</w:t>
      </w:r>
      <w:r w:rsidR="00245B69">
        <w:rPr>
          <w:rFonts w:ascii="Arial" w:hAnsi="Arial"/>
          <w:sz w:val="22"/>
        </w:rPr>
        <w:t>on procedure established by Minnesota Housing</w:t>
      </w:r>
      <w:r>
        <w:rPr>
          <w:rFonts w:ascii="Arial" w:hAnsi="Arial"/>
          <w:sz w:val="22"/>
        </w:rPr>
        <w:t xml:space="preserve"> pursuant to </w:t>
      </w:r>
      <w:r w:rsidRPr="006953AB">
        <w:rPr>
          <w:rFonts w:ascii="Arial" w:hAnsi="Arial"/>
          <w:sz w:val="22"/>
        </w:rPr>
        <w:t>Minnesota Statutes § 462A.222, Subd. 3</w:t>
      </w:r>
      <w:r>
        <w:rPr>
          <w:rFonts w:ascii="Arial" w:hAnsi="Arial"/>
          <w:sz w:val="22"/>
        </w:rPr>
        <w:t xml:space="preserve">.  </w:t>
      </w:r>
    </w:p>
    <w:p w14:paraId="13D20095" w14:textId="77777777" w:rsidR="00D04456" w:rsidRDefault="00D04456">
      <w:pPr>
        <w:tabs>
          <w:tab w:val="decimal" w:pos="900"/>
          <w:tab w:val="left" w:pos="1440"/>
        </w:tabs>
        <w:rPr>
          <w:rFonts w:ascii="Arial" w:hAnsi="Arial"/>
          <w:sz w:val="22"/>
        </w:rPr>
      </w:pPr>
    </w:p>
    <w:p w14:paraId="7A6D1384" w14:textId="00A0CAD2" w:rsidR="00043EEF" w:rsidRPr="00D22B4A" w:rsidRDefault="00D04456" w:rsidP="2C14DF09">
      <w:pPr>
        <w:tabs>
          <w:tab w:val="decimal" w:pos="900"/>
          <w:tab w:val="left" w:pos="1440"/>
        </w:tabs>
        <w:jc w:val="both"/>
        <w:rPr>
          <w:rFonts w:ascii="Arial" w:hAnsi="Arial"/>
          <w:i/>
          <w:iCs/>
          <w:sz w:val="22"/>
          <w:szCs w:val="22"/>
        </w:rPr>
      </w:pPr>
      <w:r>
        <w:rPr>
          <w:rFonts w:ascii="Arial" w:hAnsi="Arial"/>
          <w:sz w:val="22"/>
        </w:rPr>
        <w:tab/>
      </w:r>
      <w:r>
        <w:rPr>
          <w:rFonts w:ascii="Arial" w:hAnsi="Arial"/>
          <w:sz w:val="22"/>
        </w:rPr>
        <w:tab/>
      </w:r>
      <w:r w:rsidRPr="2C14DF09">
        <w:rPr>
          <w:rFonts w:ascii="Arial" w:hAnsi="Arial"/>
          <w:sz w:val="22"/>
          <w:szCs w:val="22"/>
        </w:rPr>
        <w:t>To participate in Round 1 for 20</w:t>
      </w:r>
      <w:r w:rsidR="0096121A" w:rsidRPr="2C14DF09">
        <w:rPr>
          <w:rFonts w:ascii="Arial" w:hAnsi="Arial"/>
          <w:sz w:val="22"/>
          <w:szCs w:val="22"/>
        </w:rPr>
        <w:t>2</w:t>
      </w:r>
      <w:r w:rsidR="581C00B7" w:rsidRPr="2C14DF09">
        <w:rPr>
          <w:rFonts w:ascii="Arial" w:hAnsi="Arial"/>
          <w:sz w:val="22"/>
          <w:szCs w:val="22"/>
        </w:rPr>
        <w:t>6</w:t>
      </w:r>
      <w:r w:rsidR="00550BEA" w:rsidRPr="2C14DF09">
        <w:rPr>
          <w:rFonts w:ascii="Arial" w:hAnsi="Arial"/>
          <w:sz w:val="22"/>
          <w:szCs w:val="22"/>
        </w:rPr>
        <w:t>-202</w:t>
      </w:r>
      <w:r w:rsidR="37735E9F" w:rsidRPr="2C14DF09">
        <w:rPr>
          <w:rFonts w:ascii="Arial" w:hAnsi="Arial"/>
          <w:sz w:val="22"/>
          <w:szCs w:val="22"/>
        </w:rPr>
        <w:t>7</w:t>
      </w:r>
      <w:r w:rsidRPr="2C14DF09">
        <w:rPr>
          <w:rFonts w:ascii="Arial" w:hAnsi="Arial"/>
          <w:sz w:val="22"/>
          <w:szCs w:val="22"/>
        </w:rPr>
        <w:t>, all A</w:t>
      </w:r>
      <w:r w:rsidR="00043EEF" w:rsidRPr="2C14DF09">
        <w:rPr>
          <w:rFonts w:ascii="Arial" w:hAnsi="Arial"/>
          <w:sz w:val="22"/>
          <w:szCs w:val="22"/>
        </w:rPr>
        <w:t xml:space="preserve">pplications </w:t>
      </w:r>
      <w:r w:rsidRPr="2C14DF09">
        <w:rPr>
          <w:rFonts w:ascii="Arial" w:hAnsi="Arial"/>
          <w:sz w:val="22"/>
          <w:szCs w:val="22"/>
        </w:rPr>
        <w:t xml:space="preserve">(and required accompanying </w:t>
      </w:r>
      <w:r w:rsidR="00F02378" w:rsidRPr="2C14DF09">
        <w:rPr>
          <w:rFonts w:ascii="Arial" w:hAnsi="Arial"/>
          <w:sz w:val="22"/>
          <w:szCs w:val="22"/>
        </w:rPr>
        <w:t>documentation</w:t>
      </w:r>
      <w:r w:rsidRPr="2C14DF09">
        <w:rPr>
          <w:rFonts w:ascii="Arial" w:hAnsi="Arial"/>
          <w:sz w:val="22"/>
          <w:szCs w:val="22"/>
        </w:rPr>
        <w:t xml:space="preserve">) </w:t>
      </w:r>
      <w:r w:rsidR="00043EEF" w:rsidRPr="2C14DF09">
        <w:rPr>
          <w:rFonts w:ascii="Arial" w:hAnsi="Arial"/>
          <w:sz w:val="22"/>
          <w:szCs w:val="22"/>
        </w:rPr>
        <w:t xml:space="preserve">must be submitted on or before </w:t>
      </w:r>
      <w:r w:rsidR="007C5542" w:rsidRPr="2C14DF09">
        <w:rPr>
          <w:rFonts w:ascii="Arial" w:hAnsi="Arial"/>
          <w:sz w:val="22"/>
          <w:szCs w:val="22"/>
        </w:rPr>
        <w:t>t</w:t>
      </w:r>
      <w:r w:rsidR="00044AE4" w:rsidRPr="2C14DF09">
        <w:rPr>
          <w:rFonts w:ascii="Arial" w:hAnsi="Arial"/>
          <w:sz w:val="22"/>
          <w:szCs w:val="22"/>
        </w:rPr>
        <w:t>he deadline as posted in the RFP</w:t>
      </w:r>
      <w:r w:rsidR="00BA56AA" w:rsidRPr="2C14DF09">
        <w:rPr>
          <w:rFonts w:ascii="Arial" w:hAnsi="Arial"/>
          <w:sz w:val="22"/>
          <w:szCs w:val="22"/>
        </w:rPr>
        <w:t>/NOFA</w:t>
      </w:r>
      <w:r w:rsidR="00044AE4" w:rsidRPr="2C14DF09">
        <w:rPr>
          <w:rFonts w:ascii="Arial" w:hAnsi="Arial"/>
          <w:sz w:val="22"/>
          <w:szCs w:val="22"/>
        </w:rPr>
        <w:t xml:space="preserve">. </w:t>
      </w:r>
      <w:proofErr w:type="gramStart"/>
      <w:r w:rsidR="00043EEF" w:rsidRPr="2C14DF09">
        <w:rPr>
          <w:rFonts w:ascii="Arial" w:hAnsi="Arial"/>
          <w:sz w:val="22"/>
          <w:szCs w:val="22"/>
        </w:rPr>
        <w:t>In order to</w:t>
      </w:r>
      <w:proofErr w:type="gramEnd"/>
      <w:r w:rsidR="00043EEF" w:rsidRPr="2C14DF09">
        <w:rPr>
          <w:rFonts w:ascii="Arial" w:hAnsi="Arial"/>
          <w:sz w:val="22"/>
          <w:szCs w:val="22"/>
        </w:rPr>
        <w:t xml:space="preserve"> </w:t>
      </w:r>
      <w:r w:rsidRPr="2C14DF09">
        <w:rPr>
          <w:rFonts w:ascii="Arial" w:hAnsi="Arial"/>
          <w:sz w:val="22"/>
          <w:szCs w:val="22"/>
        </w:rPr>
        <w:t xml:space="preserve">participate in </w:t>
      </w:r>
      <w:r w:rsidR="00043EEF" w:rsidRPr="2C14DF09">
        <w:rPr>
          <w:rFonts w:ascii="Arial" w:hAnsi="Arial"/>
          <w:sz w:val="22"/>
          <w:szCs w:val="22"/>
        </w:rPr>
        <w:t>any subsequent competition rounds</w:t>
      </w:r>
      <w:r w:rsidRPr="2C14DF09">
        <w:rPr>
          <w:rFonts w:ascii="Arial" w:hAnsi="Arial"/>
          <w:sz w:val="22"/>
          <w:szCs w:val="22"/>
        </w:rPr>
        <w:t>, A</w:t>
      </w:r>
      <w:r w:rsidR="00043EEF" w:rsidRPr="2C14DF09">
        <w:rPr>
          <w:rFonts w:ascii="Arial" w:hAnsi="Arial"/>
          <w:sz w:val="22"/>
          <w:szCs w:val="22"/>
        </w:rPr>
        <w:t>pplications</w:t>
      </w:r>
      <w:r w:rsidR="00F02378" w:rsidRPr="2C14DF09">
        <w:rPr>
          <w:rFonts w:ascii="Arial" w:hAnsi="Arial"/>
          <w:sz w:val="22"/>
          <w:szCs w:val="22"/>
        </w:rPr>
        <w:t xml:space="preserve"> (and required accompanying documentation)</w:t>
      </w:r>
      <w:r w:rsidR="00043EEF" w:rsidRPr="2C14DF09">
        <w:rPr>
          <w:rFonts w:ascii="Arial" w:hAnsi="Arial"/>
          <w:sz w:val="22"/>
          <w:szCs w:val="22"/>
        </w:rPr>
        <w:t xml:space="preserve"> must be submitted to </w:t>
      </w:r>
      <w:r w:rsidR="00F178C4" w:rsidRPr="2C14DF09">
        <w:rPr>
          <w:rFonts w:ascii="Arial" w:hAnsi="Arial"/>
          <w:sz w:val="22"/>
          <w:szCs w:val="22"/>
        </w:rPr>
        <w:t>CPED</w:t>
      </w:r>
      <w:r w:rsidR="00043EEF" w:rsidRPr="2C14DF09">
        <w:rPr>
          <w:rFonts w:ascii="Arial" w:hAnsi="Arial"/>
          <w:sz w:val="22"/>
          <w:szCs w:val="22"/>
        </w:rPr>
        <w:t xml:space="preserve"> or PED </w:t>
      </w:r>
      <w:r w:rsidR="006953AB" w:rsidRPr="2C14DF09">
        <w:rPr>
          <w:rFonts w:ascii="Arial" w:hAnsi="Arial"/>
          <w:sz w:val="22"/>
          <w:szCs w:val="22"/>
        </w:rPr>
        <w:t xml:space="preserve">by </w:t>
      </w:r>
      <w:r w:rsidR="00043EEF" w:rsidRPr="2C14DF09">
        <w:rPr>
          <w:rFonts w:ascii="Arial" w:hAnsi="Arial"/>
          <w:sz w:val="22"/>
          <w:szCs w:val="22"/>
        </w:rPr>
        <w:t>no later than t</w:t>
      </w:r>
      <w:r w:rsidR="00F02378" w:rsidRPr="2C14DF09">
        <w:rPr>
          <w:rFonts w:ascii="Arial" w:hAnsi="Arial"/>
          <w:sz w:val="22"/>
          <w:szCs w:val="22"/>
        </w:rPr>
        <w:t>he deadline established by the Executive D</w:t>
      </w:r>
      <w:r w:rsidR="00043EEF" w:rsidRPr="2C14DF09">
        <w:rPr>
          <w:rFonts w:ascii="Arial" w:hAnsi="Arial"/>
          <w:sz w:val="22"/>
          <w:szCs w:val="22"/>
        </w:rPr>
        <w:t xml:space="preserve">irector of the Board following publication by </w:t>
      </w:r>
      <w:r w:rsidR="00245B69" w:rsidRPr="2C14DF09">
        <w:rPr>
          <w:rFonts w:ascii="Arial" w:hAnsi="Arial"/>
          <w:sz w:val="22"/>
          <w:szCs w:val="22"/>
        </w:rPr>
        <w:t>Minnesota Housing</w:t>
      </w:r>
      <w:r w:rsidR="00043EEF" w:rsidRPr="2C14DF09">
        <w:rPr>
          <w:rFonts w:ascii="Arial" w:hAnsi="Arial"/>
          <w:sz w:val="22"/>
          <w:szCs w:val="22"/>
        </w:rPr>
        <w:t xml:space="preserve"> of the dates for the various rounds of competition for </w:t>
      </w:r>
      <w:r w:rsidR="00867B03" w:rsidRPr="2C14DF09">
        <w:rPr>
          <w:rFonts w:ascii="Arial" w:hAnsi="Arial"/>
          <w:sz w:val="22"/>
          <w:szCs w:val="22"/>
        </w:rPr>
        <w:t xml:space="preserve">the 9% </w:t>
      </w:r>
      <w:r w:rsidR="006953AB" w:rsidRPr="2C14DF09">
        <w:rPr>
          <w:rFonts w:ascii="Arial" w:hAnsi="Arial"/>
          <w:sz w:val="22"/>
          <w:szCs w:val="22"/>
        </w:rPr>
        <w:t>HTC</w:t>
      </w:r>
      <w:r w:rsidR="00043EEF" w:rsidRPr="2C14DF09">
        <w:rPr>
          <w:rFonts w:ascii="Arial" w:hAnsi="Arial"/>
          <w:sz w:val="22"/>
          <w:szCs w:val="22"/>
        </w:rPr>
        <w:t xml:space="preserve">. </w:t>
      </w:r>
    </w:p>
    <w:p w14:paraId="4592A26B" w14:textId="77777777" w:rsidR="00043EEF" w:rsidRDefault="00043EEF" w:rsidP="00D04456">
      <w:pPr>
        <w:jc w:val="both"/>
        <w:rPr>
          <w:rFonts w:ascii="Arial" w:hAnsi="Arial"/>
          <w:sz w:val="22"/>
        </w:rPr>
      </w:pPr>
    </w:p>
    <w:p w14:paraId="256DB944" w14:textId="77777777" w:rsidR="00043EEF" w:rsidRDefault="00043EEF" w:rsidP="00437B7D">
      <w:pPr>
        <w:jc w:val="both"/>
        <w:rPr>
          <w:rFonts w:ascii="Arial" w:hAnsi="Arial"/>
          <w:sz w:val="22"/>
        </w:rPr>
      </w:pPr>
      <w:r>
        <w:rPr>
          <w:rFonts w:ascii="Arial" w:hAnsi="Arial"/>
          <w:sz w:val="22"/>
        </w:rPr>
        <w:tab/>
        <w:t>B.</w:t>
      </w:r>
      <w:r>
        <w:rPr>
          <w:rFonts w:ascii="Arial" w:hAnsi="Arial"/>
          <w:sz w:val="22"/>
        </w:rPr>
        <w:tab/>
      </w:r>
      <w:r w:rsidR="00245B69">
        <w:rPr>
          <w:rFonts w:ascii="Arial" w:hAnsi="Arial"/>
          <w:sz w:val="22"/>
        </w:rPr>
        <w:t xml:space="preserve">Those Applications for 9% </w:t>
      </w:r>
      <w:r w:rsidR="00437B7D">
        <w:rPr>
          <w:rFonts w:ascii="Arial" w:hAnsi="Arial"/>
          <w:sz w:val="22"/>
        </w:rPr>
        <w:t xml:space="preserve">HTC which the Board determines have satisfied </w:t>
      </w:r>
      <w:r w:rsidR="00943534">
        <w:rPr>
          <w:rFonts w:ascii="Arial" w:hAnsi="Arial"/>
          <w:sz w:val="22"/>
        </w:rPr>
        <w:t xml:space="preserve">the </w:t>
      </w:r>
      <w:r>
        <w:rPr>
          <w:rFonts w:ascii="Arial" w:hAnsi="Arial"/>
          <w:sz w:val="22"/>
        </w:rPr>
        <w:t xml:space="preserve">threshold requirements </w:t>
      </w:r>
      <w:r w:rsidR="00437B7D">
        <w:rPr>
          <w:rFonts w:ascii="Arial" w:hAnsi="Arial"/>
          <w:sz w:val="22"/>
        </w:rPr>
        <w:t>s</w:t>
      </w:r>
      <w:r>
        <w:rPr>
          <w:rFonts w:ascii="Arial" w:hAnsi="Arial"/>
          <w:sz w:val="22"/>
        </w:rPr>
        <w:t xml:space="preserve">et forth in </w:t>
      </w:r>
      <w:r w:rsidR="002F3262">
        <w:rPr>
          <w:rFonts w:ascii="Arial" w:hAnsi="Arial"/>
          <w:sz w:val="22"/>
        </w:rPr>
        <w:t xml:space="preserve">this </w:t>
      </w:r>
      <w:r w:rsidRPr="00437B7D">
        <w:rPr>
          <w:rFonts w:ascii="Arial" w:hAnsi="Arial"/>
          <w:sz w:val="22"/>
        </w:rPr>
        <w:t xml:space="preserve">Article </w:t>
      </w:r>
      <w:r w:rsidR="00943534">
        <w:rPr>
          <w:rFonts w:ascii="Arial" w:hAnsi="Arial"/>
          <w:sz w:val="22"/>
        </w:rPr>
        <w:t xml:space="preserve">will then be scored in accordance with </w:t>
      </w:r>
      <w:r w:rsidR="005E7E74">
        <w:rPr>
          <w:rFonts w:ascii="Arial" w:hAnsi="Arial"/>
          <w:sz w:val="22"/>
        </w:rPr>
        <w:t>the selection</w:t>
      </w:r>
      <w:r>
        <w:rPr>
          <w:rFonts w:ascii="Arial" w:hAnsi="Arial"/>
          <w:sz w:val="22"/>
        </w:rPr>
        <w:t xml:space="preserve"> and preference priority point system </w:t>
      </w:r>
      <w:r w:rsidR="00943534">
        <w:rPr>
          <w:rFonts w:ascii="Arial" w:hAnsi="Arial"/>
          <w:sz w:val="22"/>
        </w:rPr>
        <w:t>set forth in Attachment 1 (Minneapolis</w:t>
      </w:r>
      <w:r w:rsidR="00867B03">
        <w:rPr>
          <w:rFonts w:ascii="Arial" w:hAnsi="Arial"/>
          <w:sz w:val="22"/>
        </w:rPr>
        <w:t xml:space="preserve"> projects</w:t>
      </w:r>
      <w:r w:rsidR="00943534">
        <w:rPr>
          <w:rFonts w:ascii="Arial" w:hAnsi="Arial"/>
          <w:sz w:val="22"/>
        </w:rPr>
        <w:t>) an</w:t>
      </w:r>
      <w:r w:rsidR="00867B03">
        <w:rPr>
          <w:rFonts w:ascii="Arial" w:hAnsi="Arial"/>
          <w:sz w:val="22"/>
        </w:rPr>
        <w:t>d Attachment 2 (</w:t>
      </w:r>
      <w:r w:rsidR="00943534">
        <w:rPr>
          <w:rFonts w:ascii="Arial" w:hAnsi="Arial"/>
          <w:sz w:val="22"/>
        </w:rPr>
        <w:t>Saint Paul</w:t>
      </w:r>
      <w:r w:rsidR="00867B03">
        <w:rPr>
          <w:rFonts w:ascii="Arial" w:hAnsi="Arial"/>
          <w:sz w:val="22"/>
        </w:rPr>
        <w:t xml:space="preserve"> projects</w:t>
      </w:r>
      <w:r w:rsidR="00943534">
        <w:rPr>
          <w:rFonts w:ascii="Arial" w:hAnsi="Arial"/>
          <w:sz w:val="22"/>
        </w:rPr>
        <w:t>), as attached to and made a part of t</w:t>
      </w:r>
      <w:r>
        <w:rPr>
          <w:rFonts w:ascii="Arial" w:hAnsi="Arial"/>
          <w:sz w:val="22"/>
        </w:rPr>
        <w:t xml:space="preserve">his </w:t>
      </w:r>
      <w:r w:rsidR="00245B69">
        <w:rPr>
          <w:rFonts w:ascii="Arial" w:hAnsi="Arial"/>
          <w:sz w:val="22"/>
        </w:rPr>
        <w:t>QAP.</w:t>
      </w:r>
    </w:p>
    <w:p w14:paraId="7D6929BC" w14:textId="77777777" w:rsidR="00043EEF" w:rsidRDefault="00043EEF" w:rsidP="00437B7D">
      <w:pPr>
        <w:jc w:val="both"/>
        <w:rPr>
          <w:rFonts w:ascii="Arial" w:hAnsi="Arial"/>
          <w:sz w:val="22"/>
        </w:rPr>
      </w:pPr>
    </w:p>
    <w:p w14:paraId="46730ECD" w14:textId="22B23C0B" w:rsidR="00043EEF" w:rsidRDefault="00043EEF" w:rsidP="2C14DF09">
      <w:pPr>
        <w:rPr>
          <w:rFonts w:ascii="Arial" w:hAnsi="Arial"/>
          <w:sz w:val="22"/>
          <w:szCs w:val="22"/>
        </w:rPr>
      </w:pPr>
      <w:r>
        <w:rPr>
          <w:rFonts w:ascii="Arial" w:hAnsi="Arial"/>
          <w:sz w:val="22"/>
        </w:rPr>
        <w:tab/>
      </w:r>
      <w:r w:rsidR="14075B11" w:rsidRPr="2C14DF09">
        <w:rPr>
          <w:rFonts w:ascii="Arial" w:hAnsi="Arial"/>
          <w:sz w:val="22"/>
          <w:szCs w:val="22"/>
        </w:rPr>
        <w:t>C.</w:t>
      </w:r>
      <w:r>
        <w:rPr>
          <w:rFonts w:ascii="Arial" w:hAnsi="Arial"/>
          <w:sz w:val="22"/>
        </w:rPr>
        <w:tab/>
      </w:r>
      <w:r w:rsidR="020B92FD" w:rsidRPr="2C14DF09">
        <w:rPr>
          <w:rFonts w:ascii="Arial" w:hAnsi="Arial"/>
          <w:sz w:val="22"/>
          <w:szCs w:val="22"/>
        </w:rPr>
        <w:t xml:space="preserve">As required by the </w:t>
      </w:r>
      <w:r w:rsidR="14075B11" w:rsidRPr="2C14DF09">
        <w:rPr>
          <w:rFonts w:ascii="Arial" w:hAnsi="Arial"/>
          <w:sz w:val="22"/>
          <w:szCs w:val="22"/>
        </w:rPr>
        <w:t xml:space="preserve">Act, all </w:t>
      </w:r>
      <w:r w:rsidR="1C63C468" w:rsidRPr="2C14DF09">
        <w:rPr>
          <w:rFonts w:ascii="Arial" w:hAnsi="Arial"/>
          <w:sz w:val="22"/>
          <w:szCs w:val="22"/>
        </w:rPr>
        <w:t xml:space="preserve">9% </w:t>
      </w:r>
      <w:r w:rsidR="4D6B3115" w:rsidRPr="2C14DF09">
        <w:rPr>
          <w:rFonts w:ascii="Arial" w:hAnsi="Arial"/>
          <w:sz w:val="22"/>
          <w:szCs w:val="22"/>
        </w:rPr>
        <w:t>HTC</w:t>
      </w:r>
      <w:r w:rsidR="6E1277D1" w:rsidRPr="2C14DF09">
        <w:rPr>
          <w:rFonts w:ascii="Arial" w:hAnsi="Arial"/>
          <w:sz w:val="22"/>
          <w:szCs w:val="22"/>
        </w:rPr>
        <w:t xml:space="preserve"> </w:t>
      </w:r>
      <w:r w:rsidR="020B92FD" w:rsidRPr="2C14DF09">
        <w:rPr>
          <w:rFonts w:ascii="Arial" w:hAnsi="Arial"/>
          <w:sz w:val="22"/>
          <w:szCs w:val="22"/>
        </w:rPr>
        <w:t>A</w:t>
      </w:r>
      <w:r w:rsidR="284E77C4" w:rsidRPr="2C14DF09">
        <w:rPr>
          <w:rFonts w:ascii="Arial" w:hAnsi="Arial"/>
          <w:sz w:val="22"/>
          <w:szCs w:val="22"/>
        </w:rPr>
        <w:t xml:space="preserve">pplications </w:t>
      </w:r>
      <w:r w:rsidR="020B92FD" w:rsidRPr="2C14DF09">
        <w:rPr>
          <w:rFonts w:ascii="Arial" w:hAnsi="Arial"/>
          <w:sz w:val="22"/>
          <w:szCs w:val="22"/>
        </w:rPr>
        <w:t xml:space="preserve">considered </w:t>
      </w:r>
      <w:r w:rsidR="284E77C4" w:rsidRPr="2C14DF09">
        <w:rPr>
          <w:rFonts w:ascii="Arial" w:hAnsi="Arial"/>
          <w:sz w:val="22"/>
          <w:szCs w:val="22"/>
        </w:rPr>
        <w:t xml:space="preserve">during Round 1 </w:t>
      </w:r>
      <w:r w:rsidR="14075B11" w:rsidRPr="2C14DF09">
        <w:rPr>
          <w:rFonts w:ascii="Arial" w:hAnsi="Arial"/>
          <w:sz w:val="22"/>
          <w:szCs w:val="22"/>
        </w:rPr>
        <w:t>must meet one of</w:t>
      </w:r>
      <w:r w:rsidR="4975A2F3" w:rsidRPr="2C14DF09">
        <w:rPr>
          <w:rFonts w:ascii="Arial" w:hAnsi="Arial"/>
          <w:sz w:val="22"/>
          <w:szCs w:val="22"/>
        </w:rPr>
        <w:t xml:space="preserve"> the following threshold types</w:t>
      </w:r>
      <w:r w:rsidR="14075B11" w:rsidRPr="2C14DF09">
        <w:rPr>
          <w:rFonts w:ascii="Arial" w:hAnsi="Arial"/>
          <w:sz w:val="22"/>
          <w:szCs w:val="22"/>
        </w:rPr>
        <w:t>:</w:t>
      </w:r>
    </w:p>
    <w:p w14:paraId="470BB1E7" w14:textId="77777777" w:rsidR="00043EEF" w:rsidRDefault="00043EEF">
      <w:pPr>
        <w:rPr>
          <w:rFonts w:ascii="Arial" w:hAnsi="Arial"/>
          <w:sz w:val="22"/>
        </w:rPr>
      </w:pPr>
    </w:p>
    <w:p w14:paraId="26B4C62F" w14:textId="41E91D4F" w:rsidR="00043EEF" w:rsidRDefault="006953AB" w:rsidP="007C7D9C">
      <w:pPr>
        <w:tabs>
          <w:tab w:val="decimal" w:pos="1620"/>
          <w:tab w:val="left" w:pos="2160"/>
        </w:tabs>
        <w:ind w:left="720"/>
        <w:jc w:val="both"/>
        <w:rPr>
          <w:rFonts w:ascii="Arial" w:hAnsi="Arial"/>
          <w:sz w:val="22"/>
        </w:rPr>
      </w:pPr>
      <w:r>
        <w:rPr>
          <w:rFonts w:ascii="Arial" w:hAnsi="Arial"/>
          <w:sz w:val="22"/>
        </w:rPr>
        <w:tab/>
        <w:t>(1)</w:t>
      </w:r>
      <w:r>
        <w:rPr>
          <w:rFonts w:ascii="Arial" w:hAnsi="Arial"/>
          <w:sz w:val="22"/>
        </w:rPr>
        <w:tab/>
        <w:t>New construction or Substantial R</w:t>
      </w:r>
      <w:r w:rsidR="00043EEF">
        <w:rPr>
          <w:rFonts w:ascii="Arial" w:hAnsi="Arial"/>
          <w:sz w:val="22"/>
        </w:rPr>
        <w:t>ehabilitation in which, for the</w:t>
      </w:r>
      <w:r>
        <w:rPr>
          <w:rFonts w:ascii="Arial" w:hAnsi="Arial"/>
          <w:sz w:val="22"/>
        </w:rPr>
        <w:t xml:space="preserve"> term of the </w:t>
      </w:r>
      <w:r w:rsidR="00044AE4">
        <w:rPr>
          <w:rFonts w:ascii="Arial" w:hAnsi="Arial"/>
          <w:sz w:val="22"/>
        </w:rPr>
        <w:t xml:space="preserve">extended use period (term of the </w:t>
      </w:r>
      <w:r>
        <w:rPr>
          <w:rFonts w:ascii="Arial" w:hAnsi="Arial"/>
          <w:sz w:val="22"/>
        </w:rPr>
        <w:t>Declaration</w:t>
      </w:r>
      <w:r w:rsidR="00044AE4">
        <w:rPr>
          <w:rFonts w:ascii="Arial" w:hAnsi="Arial"/>
          <w:sz w:val="22"/>
        </w:rPr>
        <w:t>)</w:t>
      </w:r>
      <w:r w:rsidR="00043EEF">
        <w:rPr>
          <w:rFonts w:ascii="Arial" w:hAnsi="Arial"/>
          <w:sz w:val="22"/>
        </w:rPr>
        <w:t xml:space="preserve">, at least 75% of the total </w:t>
      </w:r>
      <w:r>
        <w:rPr>
          <w:rFonts w:ascii="Arial" w:hAnsi="Arial"/>
          <w:sz w:val="22"/>
        </w:rPr>
        <w:t xml:space="preserve">HTC units </w:t>
      </w:r>
      <w:r w:rsidR="00044AE4">
        <w:rPr>
          <w:rFonts w:ascii="Arial" w:hAnsi="Arial"/>
          <w:sz w:val="22"/>
        </w:rPr>
        <w:t xml:space="preserve">are single-room occupancy, efficiency, or </w:t>
      </w:r>
      <w:proofErr w:type="gramStart"/>
      <w:r w:rsidR="00044AE4">
        <w:rPr>
          <w:rFonts w:ascii="Arial" w:hAnsi="Arial"/>
          <w:sz w:val="22"/>
        </w:rPr>
        <w:t>one bedroom</w:t>
      </w:r>
      <w:proofErr w:type="gramEnd"/>
      <w:r w:rsidR="00044AE4">
        <w:rPr>
          <w:rFonts w:ascii="Arial" w:hAnsi="Arial"/>
          <w:sz w:val="22"/>
        </w:rPr>
        <w:t xml:space="preserve"> units with rents affordable</w:t>
      </w:r>
      <w:r w:rsidR="00620CB7">
        <w:rPr>
          <w:rFonts w:ascii="Arial" w:hAnsi="Arial"/>
          <w:sz w:val="22"/>
        </w:rPr>
        <w:t xml:space="preserve"> </w:t>
      </w:r>
      <w:r w:rsidR="00044AE4" w:rsidRPr="007C5542">
        <w:rPr>
          <w:rFonts w:ascii="Arial" w:hAnsi="Arial"/>
          <w:sz w:val="22"/>
        </w:rPr>
        <w:t>to</w:t>
      </w:r>
      <w:r w:rsidR="00043EEF">
        <w:rPr>
          <w:rFonts w:ascii="Arial" w:hAnsi="Arial"/>
          <w:sz w:val="22"/>
        </w:rPr>
        <w:t xml:space="preserve"> households whose income does not exceed 30</w:t>
      </w:r>
      <w:r w:rsidR="00971B68">
        <w:rPr>
          <w:rFonts w:ascii="Arial" w:hAnsi="Arial"/>
          <w:sz w:val="22"/>
        </w:rPr>
        <w:t>%</w:t>
      </w:r>
      <w:r w:rsidR="00043EEF">
        <w:rPr>
          <w:rFonts w:ascii="Arial" w:hAnsi="Arial"/>
          <w:sz w:val="22"/>
        </w:rPr>
        <w:t xml:space="preserve"> of the </w:t>
      </w:r>
      <w:r w:rsidR="00043EEF" w:rsidRPr="00D70198">
        <w:rPr>
          <w:rFonts w:ascii="Arial" w:hAnsi="Arial"/>
          <w:sz w:val="22"/>
        </w:rPr>
        <w:t>area</w:t>
      </w:r>
      <w:r w:rsidR="00043EEF">
        <w:rPr>
          <w:rFonts w:ascii="Arial" w:hAnsi="Arial"/>
          <w:sz w:val="22"/>
        </w:rPr>
        <w:t xml:space="preserve"> </w:t>
      </w:r>
      <w:r>
        <w:rPr>
          <w:rFonts w:ascii="Arial" w:hAnsi="Arial"/>
          <w:sz w:val="22"/>
        </w:rPr>
        <w:t xml:space="preserve">median </w:t>
      </w:r>
      <w:r w:rsidR="00043EEF">
        <w:rPr>
          <w:rFonts w:ascii="Arial" w:hAnsi="Arial"/>
          <w:sz w:val="22"/>
        </w:rPr>
        <w:t>income</w:t>
      </w:r>
      <w:r w:rsidR="00867B03">
        <w:rPr>
          <w:rFonts w:ascii="Arial" w:hAnsi="Arial"/>
          <w:sz w:val="22"/>
        </w:rPr>
        <w:t xml:space="preserve"> (“AMI”)</w:t>
      </w:r>
      <w:r w:rsidR="00043EEF">
        <w:rPr>
          <w:rFonts w:ascii="Arial" w:hAnsi="Arial"/>
          <w:sz w:val="22"/>
        </w:rPr>
        <w:t>;</w:t>
      </w:r>
    </w:p>
    <w:p w14:paraId="0023B5B2" w14:textId="77777777" w:rsidR="00043EEF" w:rsidRDefault="00043EEF">
      <w:pPr>
        <w:rPr>
          <w:rFonts w:ascii="Arial" w:hAnsi="Arial"/>
          <w:sz w:val="22"/>
        </w:rPr>
      </w:pPr>
    </w:p>
    <w:p w14:paraId="74FE1F1D" w14:textId="3E2C4B07" w:rsidR="00043EEF" w:rsidRPr="002A3ECC" w:rsidRDefault="00666F77" w:rsidP="007C7D9C">
      <w:pPr>
        <w:tabs>
          <w:tab w:val="decimal" w:pos="1620"/>
          <w:tab w:val="left" w:pos="2160"/>
        </w:tabs>
        <w:ind w:left="720"/>
        <w:jc w:val="both"/>
        <w:rPr>
          <w:rFonts w:ascii="Arial" w:hAnsi="Arial"/>
          <w:sz w:val="22"/>
        </w:rPr>
      </w:pPr>
      <w:r>
        <w:rPr>
          <w:rFonts w:ascii="Arial" w:hAnsi="Arial"/>
          <w:sz w:val="22"/>
        </w:rPr>
        <w:tab/>
        <w:t>(2)</w:t>
      </w:r>
      <w:r>
        <w:rPr>
          <w:rFonts w:ascii="Arial" w:hAnsi="Arial"/>
          <w:sz w:val="22"/>
        </w:rPr>
        <w:tab/>
        <w:t>New construction or Substantial R</w:t>
      </w:r>
      <w:r w:rsidR="00043EEF">
        <w:rPr>
          <w:rFonts w:ascii="Arial" w:hAnsi="Arial"/>
          <w:sz w:val="22"/>
        </w:rPr>
        <w:t xml:space="preserve">ehabilitation </w:t>
      </w:r>
      <w:r>
        <w:rPr>
          <w:rFonts w:ascii="Arial" w:hAnsi="Arial"/>
          <w:sz w:val="22"/>
        </w:rPr>
        <w:t xml:space="preserve">family </w:t>
      </w:r>
      <w:r w:rsidR="00043EEF">
        <w:rPr>
          <w:rFonts w:ascii="Arial" w:hAnsi="Arial"/>
          <w:sz w:val="22"/>
        </w:rPr>
        <w:t>projects th</w:t>
      </w:r>
      <w:r>
        <w:rPr>
          <w:rFonts w:ascii="Arial" w:hAnsi="Arial"/>
          <w:sz w:val="22"/>
        </w:rPr>
        <w:t xml:space="preserve">at are </w:t>
      </w:r>
      <w:r w:rsidRPr="00EB282B">
        <w:rPr>
          <w:rFonts w:ascii="Arial" w:hAnsi="Arial"/>
          <w:sz w:val="22"/>
          <w:u w:val="single"/>
        </w:rPr>
        <w:t>not</w:t>
      </w:r>
      <w:r>
        <w:rPr>
          <w:rFonts w:ascii="Arial" w:hAnsi="Arial"/>
          <w:sz w:val="22"/>
        </w:rPr>
        <w:t xml:space="preserve"> restricted to </w:t>
      </w:r>
      <w:r w:rsidR="00044AE4">
        <w:rPr>
          <w:rFonts w:ascii="Arial" w:hAnsi="Arial"/>
          <w:sz w:val="22"/>
        </w:rPr>
        <w:t xml:space="preserve">persons </w:t>
      </w:r>
      <w:r w:rsidR="00043EEF">
        <w:rPr>
          <w:rFonts w:ascii="Arial" w:hAnsi="Arial"/>
          <w:sz w:val="22"/>
        </w:rPr>
        <w:t>who are 55 years of age or older and in which, for the term of the</w:t>
      </w:r>
      <w:r w:rsidR="00044AE4">
        <w:rPr>
          <w:rFonts w:ascii="Arial" w:hAnsi="Arial"/>
          <w:sz w:val="22"/>
        </w:rPr>
        <w:t xml:space="preserve"> extended use period (term of the</w:t>
      </w:r>
      <w:r w:rsidR="00043EEF">
        <w:rPr>
          <w:rFonts w:ascii="Arial" w:hAnsi="Arial"/>
          <w:sz w:val="22"/>
        </w:rPr>
        <w:t xml:space="preserve"> </w:t>
      </w:r>
      <w:r>
        <w:rPr>
          <w:rFonts w:ascii="Arial" w:hAnsi="Arial"/>
          <w:sz w:val="22"/>
        </w:rPr>
        <w:t>Declaration</w:t>
      </w:r>
      <w:r w:rsidR="00044AE4">
        <w:rPr>
          <w:rFonts w:ascii="Arial" w:hAnsi="Arial"/>
          <w:sz w:val="22"/>
        </w:rPr>
        <w:t>)</w:t>
      </w:r>
      <w:r w:rsidR="00BC2759">
        <w:rPr>
          <w:rFonts w:ascii="Arial" w:hAnsi="Arial"/>
          <w:sz w:val="22"/>
        </w:rPr>
        <w:t xml:space="preserve">, at least 75% of the </w:t>
      </w:r>
      <w:r w:rsidR="001A4BAA">
        <w:rPr>
          <w:rFonts w:ascii="Arial" w:hAnsi="Arial"/>
          <w:sz w:val="22"/>
        </w:rPr>
        <w:t xml:space="preserve">total </w:t>
      </w:r>
      <w:r w:rsidRPr="002A3ECC">
        <w:rPr>
          <w:rFonts w:ascii="Arial" w:hAnsi="Arial"/>
          <w:sz w:val="22"/>
        </w:rPr>
        <w:t xml:space="preserve">HTC </w:t>
      </w:r>
      <w:r w:rsidR="00043EEF" w:rsidRPr="002A3ECC">
        <w:rPr>
          <w:rFonts w:ascii="Arial" w:hAnsi="Arial"/>
          <w:sz w:val="22"/>
        </w:rPr>
        <w:t xml:space="preserve">units contain two or more bedrooms and at least one-third of the 75% contain three or more </w:t>
      </w:r>
      <w:proofErr w:type="gramStart"/>
      <w:r w:rsidR="00043EEF" w:rsidRPr="002A3ECC">
        <w:rPr>
          <w:rFonts w:ascii="Arial" w:hAnsi="Arial"/>
          <w:sz w:val="22"/>
        </w:rPr>
        <w:t>bedrooms;</w:t>
      </w:r>
      <w:proofErr w:type="gramEnd"/>
    </w:p>
    <w:p w14:paraId="42F8FDA5" w14:textId="77777777" w:rsidR="009C4E54" w:rsidRPr="002A3ECC" w:rsidRDefault="009C4E54">
      <w:pPr>
        <w:rPr>
          <w:rFonts w:ascii="Arial" w:hAnsi="Arial"/>
          <w:sz w:val="22"/>
        </w:rPr>
      </w:pPr>
    </w:p>
    <w:p w14:paraId="1C43098E" w14:textId="77777777" w:rsidR="00043EEF" w:rsidRDefault="00666F77">
      <w:pPr>
        <w:tabs>
          <w:tab w:val="decimal" w:pos="1620"/>
          <w:tab w:val="left" w:pos="2160"/>
        </w:tabs>
        <w:ind w:left="720"/>
        <w:rPr>
          <w:rFonts w:ascii="Arial" w:hAnsi="Arial"/>
          <w:sz w:val="22"/>
        </w:rPr>
      </w:pPr>
      <w:r w:rsidRPr="002A3ECC">
        <w:rPr>
          <w:rFonts w:ascii="Arial" w:hAnsi="Arial"/>
          <w:sz w:val="22"/>
        </w:rPr>
        <w:tab/>
        <w:t>(3)</w:t>
      </w:r>
      <w:r w:rsidRPr="002A3ECC">
        <w:rPr>
          <w:rFonts w:ascii="Arial" w:hAnsi="Arial"/>
          <w:sz w:val="22"/>
        </w:rPr>
        <w:tab/>
        <w:t>Substantial R</w:t>
      </w:r>
      <w:r w:rsidR="00043EEF" w:rsidRPr="002A3ECC">
        <w:rPr>
          <w:rFonts w:ascii="Arial" w:hAnsi="Arial"/>
          <w:sz w:val="22"/>
        </w:rPr>
        <w:t>ehabilitat</w:t>
      </w:r>
      <w:r w:rsidR="00043EEF">
        <w:rPr>
          <w:rFonts w:ascii="Arial" w:hAnsi="Arial"/>
          <w:sz w:val="22"/>
        </w:rPr>
        <w:t>ion projects</w:t>
      </w:r>
      <w:r w:rsidR="003340C2">
        <w:rPr>
          <w:rFonts w:ascii="Arial" w:hAnsi="Arial"/>
          <w:sz w:val="22"/>
        </w:rPr>
        <w:t xml:space="preserve"> of existing housing </w:t>
      </w:r>
      <w:r w:rsidR="00043EEF">
        <w:rPr>
          <w:rFonts w:ascii="Arial" w:hAnsi="Arial"/>
          <w:sz w:val="22"/>
        </w:rPr>
        <w:t xml:space="preserve">in neighborhoods targeted by Minneapolis or Saint Paul for </w:t>
      </w:r>
      <w:proofErr w:type="gramStart"/>
      <w:r w:rsidR="00043EEF">
        <w:rPr>
          <w:rFonts w:ascii="Arial" w:hAnsi="Arial"/>
          <w:sz w:val="22"/>
        </w:rPr>
        <w:t>revitalization;</w:t>
      </w:r>
      <w:proofErr w:type="gramEnd"/>
      <w:r w:rsidR="00867B03">
        <w:rPr>
          <w:rFonts w:ascii="Arial" w:hAnsi="Arial"/>
          <w:sz w:val="22"/>
        </w:rPr>
        <w:t xml:space="preserve"> </w:t>
      </w:r>
    </w:p>
    <w:p w14:paraId="52D252DE" w14:textId="77777777" w:rsidR="00043EEF" w:rsidRDefault="00043EEF">
      <w:pPr>
        <w:rPr>
          <w:rFonts w:ascii="Arial" w:hAnsi="Arial"/>
          <w:sz w:val="22"/>
        </w:rPr>
      </w:pPr>
    </w:p>
    <w:p w14:paraId="2082390A" w14:textId="44473292" w:rsidR="00B6269F" w:rsidRDefault="0034252E" w:rsidP="00EB282B">
      <w:pPr>
        <w:tabs>
          <w:tab w:val="decimal" w:pos="1620"/>
          <w:tab w:val="left" w:pos="2160"/>
        </w:tabs>
        <w:ind w:left="720"/>
        <w:jc w:val="both"/>
        <w:rPr>
          <w:rFonts w:ascii="Arial" w:hAnsi="Arial"/>
          <w:sz w:val="22"/>
        </w:rPr>
      </w:pPr>
      <w:r>
        <w:rPr>
          <w:rFonts w:ascii="Arial" w:hAnsi="Arial"/>
          <w:sz w:val="22"/>
        </w:rPr>
        <w:tab/>
        <w:t>(4)</w:t>
      </w:r>
      <w:r>
        <w:rPr>
          <w:rFonts w:ascii="Arial" w:hAnsi="Arial"/>
          <w:sz w:val="22"/>
        </w:rPr>
        <w:tab/>
        <w:t xml:space="preserve">Projects </w:t>
      </w:r>
      <w:r w:rsidR="00044AE4">
        <w:rPr>
          <w:rFonts w:ascii="Arial" w:hAnsi="Arial"/>
          <w:sz w:val="22"/>
        </w:rPr>
        <w:t xml:space="preserve">that are not restricted to persons of a particular age group and </w:t>
      </w:r>
      <w:r>
        <w:rPr>
          <w:rFonts w:ascii="Arial" w:hAnsi="Arial"/>
          <w:sz w:val="22"/>
        </w:rPr>
        <w:t>in which</w:t>
      </w:r>
      <w:r w:rsidR="00044AE4">
        <w:rPr>
          <w:rFonts w:ascii="Arial" w:hAnsi="Arial"/>
          <w:sz w:val="22"/>
        </w:rPr>
        <w:t>, for the term of the extended use period (term of the Declaration)</w:t>
      </w:r>
      <w:r>
        <w:rPr>
          <w:rFonts w:ascii="Arial" w:hAnsi="Arial"/>
          <w:sz w:val="22"/>
        </w:rPr>
        <w:t xml:space="preserve"> a percentage</w:t>
      </w:r>
      <w:r w:rsidR="00043EEF">
        <w:rPr>
          <w:rFonts w:ascii="Arial" w:hAnsi="Arial"/>
          <w:sz w:val="22"/>
        </w:rPr>
        <w:t xml:space="preserve"> of the units are </w:t>
      </w:r>
      <w:r w:rsidR="00B6269F">
        <w:rPr>
          <w:rFonts w:ascii="Arial" w:hAnsi="Arial"/>
          <w:sz w:val="22"/>
        </w:rPr>
        <w:t>set aside and rented to</w:t>
      </w:r>
      <w:r w:rsidR="00043EEF">
        <w:rPr>
          <w:rFonts w:ascii="Arial" w:hAnsi="Arial"/>
          <w:sz w:val="22"/>
        </w:rPr>
        <w:t xml:space="preserve"> </w:t>
      </w:r>
      <w:r>
        <w:rPr>
          <w:rFonts w:ascii="Arial" w:hAnsi="Arial"/>
          <w:sz w:val="22"/>
        </w:rPr>
        <w:t>persons</w:t>
      </w:r>
      <w:r w:rsidR="00B6269F">
        <w:rPr>
          <w:rFonts w:ascii="Arial" w:hAnsi="Arial"/>
          <w:sz w:val="22"/>
        </w:rPr>
        <w:t>:</w:t>
      </w:r>
    </w:p>
    <w:p w14:paraId="55E28155" w14:textId="441D625D" w:rsidR="00B6269F" w:rsidRDefault="00B6269F" w:rsidP="00080606">
      <w:pPr>
        <w:tabs>
          <w:tab w:val="decimal" w:pos="1620"/>
          <w:tab w:val="left" w:pos="2160"/>
        </w:tabs>
        <w:ind w:left="1620"/>
        <w:jc w:val="both"/>
        <w:rPr>
          <w:rFonts w:ascii="Arial" w:hAnsi="Arial"/>
          <w:sz w:val="22"/>
        </w:rPr>
      </w:pPr>
      <w:r>
        <w:rPr>
          <w:rFonts w:ascii="Arial" w:hAnsi="Arial"/>
          <w:sz w:val="22"/>
        </w:rPr>
        <w:t>(a) With a serious and persistent mental illness as defined in Minnesota Statutes 245.462, Subdivision 20, paragraph (c</w:t>
      </w:r>
      <w:proofErr w:type="gramStart"/>
      <w:r>
        <w:rPr>
          <w:rFonts w:ascii="Arial" w:hAnsi="Arial"/>
          <w:sz w:val="22"/>
        </w:rPr>
        <w:t>);</w:t>
      </w:r>
      <w:proofErr w:type="gramEnd"/>
      <w:r>
        <w:rPr>
          <w:rFonts w:ascii="Arial" w:hAnsi="Arial"/>
          <w:sz w:val="22"/>
        </w:rPr>
        <w:t xml:space="preserve"> </w:t>
      </w:r>
    </w:p>
    <w:p w14:paraId="5E304C95" w14:textId="71252245" w:rsidR="00B6269F" w:rsidRDefault="00B6269F" w:rsidP="00080606">
      <w:pPr>
        <w:tabs>
          <w:tab w:val="decimal" w:pos="1620"/>
          <w:tab w:val="left" w:pos="2160"/>
        </w:tabs>
        <w:ind w:left="1620"/>
        <w:jc w:val="both"/>
        <w:rPr>
          <w:rFonts w:ascii="Arial" w:hAnsi="Arial"/>
          <w:sz w:val="22"/>
        </w:rPr>
      </w:pPr>
      <w:r>
        <w:rPr>
          <w:rFonts w:ascii="Arial" w:hAnsi="Arial"/>
          <w:sz w:val="22"/>
        </w:rPr>
        <w:t xml:space="preserve">(b) With a developmental disability as defined in </w:t>
      </w:r>
      <w:r w:rsidR="009C4E54">
        <w:rPr>
          <w:rFonts w:ascii="Arial" w:hAnsi="Arial"/>
          <w:sz w:val="22"/>
        </w:rPr>
        <w:t xml:space="preserve">United States Code, Title 42, </w:t>
      </w:r>
      <w:r>
        <w:rPr>
          <w:rFonts w:ascii="Arial" w:hAnsi="Arial"/>
          <w:sz w:val="22"/>
        </w:rPr>
        <w:t xml:space="preserve">Section 6001, paragraph </w:t>
      </w:r>
      <w:proofErr w:type="gramStart"/>
      <w:r>
        <w:rPr>
          <w:rFonts w:ascii="Arial" w:hAnsi="Arial"/>
          <w:sz w:val="22"/>
        </w:rPr>
        <w:t>5;</w:t>
      </w:r>
      <w:proofErr w:type="gramEnd"/>
    </w:p>
    <w:p w14:paraId="2A73C107" w14:textId="77777777" w:rsidR="00B6269F" w:rsidRDefault="00B6269F" w:rsidP="00080606">
      <w:pPr>
        <w:tabs>
          <w:tab w:val="decimal" w:pos="1620"/>
          <w:tab w:val="left" w:pos="2160"/>
        </w:tabs>
        <w:ind w:left="1620"/>
        <w:jc w:val="both"/>
        <w:rPr>
          <w:rFonts w:ascii="Arial" w:hAnsi="Arial"/>
          <w:sz w:val="22"/>
        </w:rPr>
      </w:pPr>
      <w:r>
        <w:rPr>
          <w:rFonts w:ascii="Arial" w:hAnsi="Arial"/>
          <w:sz w:val="22"/>
        </w:rPr>
        <w:t xml:space="preserve">(c) Who have been assessed as drug dependent persons as defined in Minnesota Statutes 254A.02, Subdivision 5, and are receiving or will receive care </w:t>
      </w:r>
      <w:r>
        <w:rPr>
          <w:rFonts w:ascii="Arial" w:hAnsi="Arial"/>
          <w:sz w:val="22"/>
        </w:rPr>
        <w:lastRenderedPageBreak/>
        <w:t xml:space="preserve">and treatment services provided by an approved treatment program as defined in Minnesota Statutes 254A.02, Subdivision </w:t>
      </w:r>
      <w:proofErr w:type="gramStart"/>
      <w:r>
        <w:rPr>
          <w:rFonts w:ascii="Arial" w:hAnsi="Arial"/>
          <w:sz w:val="22"/>
        </w:rPr>
        <w:t>2;</w:t>
      </w:r>
      <w:proofErr w:type="gramEnd"/>
      <w:r>
        <w:rPr>
          <w:rFonts w:ascii="Arial" w:hAnsi="Arial"/>
          <w:sz w:val="22"/>
        </w:rPr>
        <w:t xml:space="preserve"> </w:t>
      </w:r>
    </w:p>
    <w:p w14:paraId="4404D34C" w14:textId="77777777" w:rsidR="00B6269F" w:rsidRDefault="00B6269F" w:rsidP="00080606">
      <w:pPr>
        <w:tabs>
          <w:tab w:val="decimal" w:pos="1620"/>
          <w:tab w:val="left" w:pos="2160"/>
        </w:tabs>
        <w:ind w:left="1620"/>
        <w:jc w:val="both"/>
        <w:rPr>
          <w:rFonts w:ascii="Arial" w:hAnsi="Arial"/>
          <w:sz w:val="22"/>
        </w:rPr>
      </w:pPr>
      <w:r>
        <w:rPr>
          <w:rFonts w:ascii="Arial" w:hAnsi="Arial"/>
          <w:sz w:val="22"/>
        </w:rPr>
        <w:t>(d) With a brain injury as defined in Minnesota Statutes 256B.093, Subdivision 4, paragraph (a); or</w:t>
      </w:r>
    </w:p>
    <w:p w14:paraId="4603D576" w14:textId="12C9406C" w:rsidR="00B6269F" w:rsidRDefault="00B6269F" w:rsidP="00080606">
      <w:pPr>
        <w:tabs>
          <w:tab w:val="decimal" w:pos="1620"/>
          <w:tab w:val="left" w:pos="2160"/>
        </w:tabs>
        <w:ind w:left="1620"/>
        <w:jc w:val="both"/>
        <w:rPr>
          <w:rFonts w:ascii="Arial" w:hAnsi="Arial"/>
          <w:sz w:val="22"/>
        </w:rPr>
      </w:pPr>
      <w:r>
        <w:rPr>
          <w:rFonts w:ascii="Arial" w:hAnsi="Arial"/>
          <w:sz w:val="22"/>
        </w:rPr>
        <w:t xml:space="preserve">(e) With permanent physical disabilities that substantially limit major life activities, if at least 50% of the units in the project are accessible as provided under Minnesota Rules Chapter 1341 </w:t>
      </w:r>
      <w:r>
        <w:rPr>
          <w:rFonts w:ascii="Arial" w:hAnsi="Arial"/>
          <w:sz w:val="22"/>
        </w:rPr>
        <w:tab/>
      </w:r>
    </w:p>
    <w:p w14:paraId="512E7BFE" w14:textId="5BF5195A" w:rsidR="00043EEF" w:rsidRDefault="00B6269F" w:rsidP="00620CB7">
      <w:pPr>
        <w:tabs>
          <w:tab w:val="decimal" w:pos="1620"/>
          <w:tab w:val="left" w:pos="2160"/>
        </w:tabs>
        <w:ind w:left="720"/>
        <w:jc w:val="both"/>
        <w:rPr>
          <w:rFonts w:ascii="Arial" w:hAnsi="Arial"/>
          <w:sz w:val="22"/>
        </w:rPr>
      </w:pPr>
      <w:r>
        <w:rPr>
          <w:rFonts w:ascii="Arial" w:hAnsi="Arial"/>
          <w:sz w:val="22"/>
        </w:rPr>
        <w:tab/>
      </w:r>
    </w:p>
    <w:p w14:paraId="7F579ECE" w14:textId="7D47953D" w:rsidR="00043EEF" w:rsidRDefault="00043EEF" w:rsidP="00E9446C">
      <w:pPr>
        <w:tabs>
          <w:tab w:val="decimal" w:pos="1620"/>
          <w:tab w:val="left" w:pos="2160"/>
        </w:tabs>
        <w:ind w:left="720"/>
        <w:jc w:val="both"/>
        <w:rPr>
          <w:rFonts w:ascii="Arial" w:hAnsi="Arial"/>
          <w:sz w:val="22"/>
        </w:rPr>
      </w:pPr>
      <w:r>
        <w:rPr>
          <w:rFonts w:ascii="Arial" w:hAnsi="Arial"/>
          <w:sz w:val="22"/>
        </w:rPr>
        <w:tab/>
        <w:t>(5)</w:t>
      </w:r>
      <w:r>
        <w:rPr>
          <w:rFonts w:ascii="Arial" w:hAnsi="Arial"/>
          <w:sz w:val="22"/>
        </w:rPr>
        <w:tab/>
      </w:r>
      <w:r w:rsidRPr="00EB282B">
        <w:rPr>
          <w:rFonts w:ascii="Arial" w:hAnsi="Arial"/>
          <w:sz w:val="22"/>
        </w:rPr>
        <w:t>Projects</w:t>
      </w:r>
      <w:r w:rsidR="00B6269F">
        <w:rPr>
          <w:rFonts w:ascii="Arial" w:hAnsi="Arial"/>
          <w:sz w:val="22"/>
        </w:rPr>
        <w:t>, whether or not restricted to persons of a particular age group,</w:t>
      </w:r>
      <w:r w:rsidRPr="00EB282B">
        <w:rPr>
          <w:rFonts w:ascii="Arial" w:hAnsi="Arial"/>
          <w:sz w:val="22"/>
        </w:rPr>
        <w:t xml:space="preserve"> which preserve existing subsidized housing</w:t>
      </w:r>
      <w:r w:rsidR="00B6269F">
        <w:rPr>
          <w:rFonts w:ascii="Arial" w:hAnsi="Arial"/>
          <w:sz w:val="22"/>
        </w:rPr>
        <w:t>,</w:t>
      </w:r>
      <w:r w:rsidR="00EB282B">
        <w:rPr>
          <w:rFonts w:ascii="Arial" w:hAnsi="Arial"/>
          <w:sz w:val="22"/>
        </w:rPr>
        <w:t xml:space="preserve"> if</w:t>
      </w:r>
      <w:r w:rsidR="00EA4705" w:rsidRPr="00EB282B">
        <w:rPr>
          <w:rFonts w:ascii="Arial" w:hAnsi="Arial"/>
          <w:sz w:val="22"/>
        </w:rPr>
        <w:t xml:space="preserve"> the </w:t>
      </w:r>
      <w:r w:rsidR="00E36E8A">
        <w:rPr>
          <w:rFonts w:ascii="Arial" w:hAnsi="Arial"/>
          <w:sz w:val="22"/>
        </w:rPr>
        <w:t>allocation of</w:t>
      </w:r>
      <w:r w:rsidR="00245B69">
        <w:rPr>
          <w:rFonts w:ascii="Arial" w:hAnsi="Arial"/>
          <w:sz w:val="22"/>
        </w:rPr>
        <w:t xml:space="preserve"> </w:t>
      </w:r>
      <w:r w:rsidR="00EB282B">
        <w:rPr>
          <w:rFonts w:ascii="Arial" w:hAnsi="Arial"/>
          <w:sz w:val="22"/>
        </w:rPr>
        <w:t xml:space="preserve">HTC </w:t>
      </w:r>
      <w:r w:rsidRPr="00EB282B">
        <w:rPr>
          <w:rFonts w:ascii="Arial" w:hAnsi="Arial"/>
          <w:sz w:val="22"/>
        </w:rPr>
        <w:t>is necessary to</w:t>
      </w:r>
      <w:r w:rsidR="00B6269F">
        <w:rPr>
          <w:rFonts w:ascii="Arial" w:hAnsi="Arial"/>
          <w:sz w:val="22"/>
        </w:rPr>
        <w:t>: (</w:t>
      </w:r>
      <w:proofErr w:type="gramStart"/>
      <w:r w:rsidR="00B6269F">
        <w:rPr>
          <w:rFonts w:ascii="Arial" w:hAnsi="Arial"/>
          <w:sz w:val="22"/>
        </w:rPr>
        <w:t xml:space="preserve">a) </w:t>
      </w:r>
      <w:r w:rsidRPr="00EB282B">
        <w:rPr>
          <w:rFonts w:ascii="Arial" w:hAnsi="Arial"/>
          <w:sz w:val="22"/>
        </w:rPr>
        <w:t xml:space="preserve"> prevent</w:t>
      </w:r>
      <w:proofErr w:type="gramEnd"/>
      <w:r w:rsidRPr="00EB282B">
        <w:rPr>
          <w:rFonts w:ascii="Arial" w:hAnsi="Arial"/>
          <w:sz w:val="22"/>
        </w:rPr>
        <w:t xml:space="preserve"> conversion </w:t>
      </w:r>
      <w:r w:rsidR="007C5542">
        <w:rPr>
          <w:rFonts w:ascii="Arial" w:hAnsi="Arial"/>
          <w:sz w:val="22"/>
        </w:rPr>
        <w:t xml:space="preserve">to </w:t>
      </w:r>
      <w:r w:rsidRPr="00EB282B">
        <w:rPr>
          <w:rFonts w:ascii="Arial" w:hAnsi="Arial"/>
          <w:sz w:val="22"/>
        </w:rPr>
        <w:t>market rate</w:t>
      </w:r>
      <w:r w:rsidR="00EB282B">
        <w:rPr>
          <w:rFonts w:ascii="Arial" w:hAnsi="Arial"/>
          <w:sz w:val="22"/>
        </w:rPr>
        <w:t xml:space="preserve"> </w:t>
      </w:r>
      <w:r w:rsidR="00B6269F">
        <w:rPr>
          <w:rFonts w:ascii="Arial" w:hAnsi="Arial"/>
          <w:sz w:val="22"/>
        </w:rPr>
        <w:t>use, or (b) to remedy physical deterioration of the project, which would result in loss of existing federal subsidies.</w:t>
      </w:r>
    </w:p>
    <w:p w14:paraId="5F743560" w14:textId="77777777" w:rsidR="00043EEF" w:rsidRDefault="00043EEF">
      <w:pPr>
        <w:rPr>
          <w:rFonts w:ascii="Arial" w:hAnsi="Arial"/>
          <w:sz w:val="22"/>
        </w:rPr>
      </w:pPr>
    </w:p>
    <w:p w14:paraId="08309D7D" w14:textId="77777777" w:rsidR="00043EEF" w:rsidRDefault="00043EEF" w:rsidP="00E90467">
      <w:pPr>
        <w:jc w:val="both"/>
        <w:rPr>
          <w:rFonts w:ascii="Arial" w:hAnsi="Arial"/>
          <w:sz w:val="22"/>
        </w:rPr>
      </w:pPr>
      <w:r>
        <w:rPr>
          <w:rFonts w:ascii="Arial" w:hAnsi="Arial"/>
          <w:sz w:val="22"/>
        </w:rPr>
        <w:tab/>
        <w:t>D.</w:t>
      </w:r>
      <w:r>
        <w:rPr>
          <w:rFonts w:ascii="Arial" w:hAnsi="Arial"/>
          <w:sz w:val="22"/>
        </w:rPr>
        <w:tab/>
      </w:r>
      <w:r w:rsidR="0027069F">
        <w:rPr>
          <w:rFonts w:ascii="Arial" w:hAnsi="Arial"/>
          <w:sz w:val="22"/>
        </w:rPr>
        <w:t>To qualify for Round 1</w:t>
      </w:r>
      <w:r w:rsidR="0032518F">
        <w:rPr>
          <w:rFonts w:ascii="Arial" w:hAnsi="Arial"/>
          <w:sz w:val="22"/>
        </w:rPr>
        <w:t xml:space="preserve">, a </w:t>
      </w:r>
      <w:r>
        <w:rPr>
          <w:rFonts w:ascii="Arial" w:hAnsi="Arial"/>
          <w:sz w:val="22"/>
        </w:rPr>
        <w:t xml:space="preserve">project must be financially feasible and viable as a </w:t>
      </w:r>
      <w:r w:rsidRPr="00867B03">
        <w:rPr>
          <w:rFonts w:ascii="Arial" w:hAnsi="Arial"/>
          <w:sz w:val="22"/>
        </w:rPr>
        <w:t xml:space="preserve">qualified low-income project throughout the </w:t>
      </w:r>
      <w:r w:rsidR="0032518F" w:rsidRPr="00867B03">
        <w:rPr>
          <w:rFonts w:ascii="Arial" w:hAnsi="Arial"/>
          <w:sz w:val="22"/>
        </w:rPr>
        <w:t xml:space="preserve">15-year compliance </w:t>
      </w:r>
      <w:r w:rsidRPr="00867B03">
        <w:rPr>
          <w:rFonts w:ascii="Arial" w:hAnsi="Arial"/>
          <w:sz w:val="22"/>
        </w:rPr>
        <w:t>period as do</w:t>
      </w:r>
      <w:r w:rsidR="00E90467" w:rsidRPr="00867B03">
        <w:rPr>
          <w:rFonts w:ascii="Arial" w:hAnsi="Arial"/>
          <w:sz w:val="22"/>
        </w:rPr>
        <w:t>cumented by</w:t>
      </w:r>
      <w:r w:rsidR="00E90467">
        <w:rPr>
          <w:rFonts w:ascii="Arial" w:hAnsi="Arial"/>
          <w:sz w:val="22"/>
        </w:rPr>
        <w:t xml:space="preserve"> information in the A</w:t>
      </w:r>
      <w:r>
        <w:rPr>
          <w:rFonts w:ascii="Arial" w:hAnsi="Arial"/>
          <w:sz w:val="22"/>
        </w:rPr>
        <w:t xml:space="preserve">pplication which satisfies </w:t>
      </w:r>
      <w:r w:rsidR="002F3262">
        <w:rPr>
          <w:rFonts w:ascii="Arial" w:hAnsi="Arial"/>
          <w:sz w:val="22"/>
        </w:rPr>
        <w:t xml:space="preserve">the </w:t>
      </w:r>
      <w:r>
        <w:rPr>
          <w:rFonts w:ascii="Arial" w:hAnsi="Arial"/>
          <w:sz w:val="22"/>
        </w:rPr>
        <w:t xml:space="preserve">underwriting standards used by </w:t>
      </w:r>
      <w:r w:rsidR="00F178C4">
        <w:rPr>
          <w:rFonts w:ascii="Arial" w:hAnsi="Arial"/>
          <w:sz w:val="22"/>
        </w:rPr>
        <w:t>CPED</w:t>
      </w:r>
      <w:r>
        <w:rPr>
          <w:rFonts w:ascii="Arial" w:hAnsi="Arial"/>
          <w:sz w:val="22"/>
        </w:rPr>
        <w:t xml:space="preserve"> or PED, as appropriate, including sources and uses of funds, the total financing planned for the Project, any proceeds or receipts expected to be generated by reason of tax benefits, and the percentage of the housing credit dollar amount used for project costs other than Costs of Intermediaries.  The information must show that, at a minimum </w:t>
      </w:r>
      <w:r w:rsidR="00AA011A">
        <w:rPr>
          <w:rFonts w:ascii="Arial" w:hAnsi="Arial"/>
          <w:sz w:val="22"/>
        </w:rPr>
        <w:t>(</w:t>
      </w:r>
      <w:proofErr w:type="spellStart"/>
      <w:r w:rsidR="00AA011A">
        <w:rPr>
          <w:rFonts w:ascii="Arial" w:hAnsi="Arial"/>
          <w:sz w:val="22"/>
        </w:rPr>
        <w:t>i</w:t>
      </w:r>
      <w:proofErr w:type="spellEnd"/>
      <w:r w:rsidR="00AA011A">
        <w:rPr>
          <w:rFonts w:ascii="Arial" w:hAnsi="Arial"/>
          <w:sz w:val="22"/>
        </w:rPr>
        <w:t xml:space="preserve">) the applicant/sponsor </w:t>
      </w:r>
      <w:r>
        <w:rPr>
          <w:rFonts w:ascii="Arial" w:hAnsi="Arial"/>
          <w:sz w:val="22"/>
        </w:rPr>
        <w:t xml:space="preserve">is </w:t>
      </w:r>
      <w:r w:rsidRPr="00867B03">
        <w:rPr>
          <w:rFonts w:ascii="Arial" w:hAnsi="Arial"/>
          <w:sz w:val="22"/>
        </w:rPr>
        <w:t>creditworthy,</w:t>
      </w:r>
      <w:r>
        <w:rPr>
          <w:rFonts w:ascii="Arial" w:hAnsi="Arial"/>
          <w:sz w:val="22"/>
        </w:rPr>
        <w:t xml:space="preserve"> (ii) </w:t>
      </w:r>
      <w:r w:rsidR="00AA011A">
        <w:rPr>
          <w:rFonts w:ascii="Arial" w:hAnsi="Arial"/>
          <w:sz w:val="22"/>
        </w:rPr>
        <w:t xml:space="preserve">the applicant/sponsor </w:t>
      </w:r>
      <w:r>
        <w:rPr>
          <w:rFonts w:ascii="Arial" w:hAnsi="Arial"/>
          <w:sz w:val="22"/>
        </w:rPr>
        <w:t xml:space="preserve">has site control, (iii) </w:t>
      </w:r>
      <w:r w:rsidR="00AA011A">
        <w:rPr>
          <w:rFonts w:ascii="Arial" w:hAnsi="Arial"/>
          <w:sz w:val="22"/>
        </w:rPr>
        <w:t xml:space="preserve">the applicant/sponsor </w:t>
      </w:r>
      <w:r>
        <w:rPr>
          <w:rFonts w:ascii="Arial" w:hAnsi="Arial"/>
          <w:sz w:val="22"/>
        </w:rPr>
        <w:t>has the financial ability to undertake the project, including preliminary financing commitments, (iv) that the project can be complet</w:t>
      </w:r>
      <w:r w:rsidR="00867B03">
        <w:rPr>
          <w:rFonts w:ascii="Arial" w:hAnsi="Arial"/>
          <w:sz w:val="22"/>
        </w:rPr>
        <w:t xml:space="preserve">ed in a timely manner, (v) </w:t>
      </w:r>
      <w:r>
        <w:rPr>
          <w:rFonts w:ascii="Arial" w:hAnsi="Arial"/>
          <w:sz w:val="22"/>
        </w:rPr>
        <w:t xml:space="preserve">the </w:t>
      </w:r>
      <w:r w:rsidR="00867B03">
        <w:rPr>
          <w:rFonts w:ascii="Arial" w:hAnsi="Arial"/>
          <w:sz w:val="22"/>
        </w:rPr>
        <w:t xml:space="preserve">project is forecasted to have </w:t>
      </w:r>
      <w:r>
        <w:rPr>
          <w:rFonts w:ascii="Arial" w:hAnsi="Arial"/>
          <w:sz w:val="22"/>
        </w:rPr>
        <w:t xml:space="preserve">positive </w:t>
      </w:r>
      <w:r w:rsidR="00AA011A">
        <w:rPr>
          <w:rFonts w:ascii="Arial" w:hAnsi="Arial"/>
          <w:sz w:val="22"/>
        </w:rPr>
        <w:t xml:space="preserve"> </w:t>
      </w:r>
      <w:r>
        <w:rPr>
          <w:rFonts w:ascii="Arial" w:hAnsi="Arial"/>
          <w:sz w:val="22"/>
        </w:rPr>
        <w:t xml:space="preserve">cash flow after </w:t>
      </w:r>
      <w:r w:rsidR="00666F77">
        <w:rPr>
          <w:rFonts w:ascii="Arial" w:hAnsi="Arial"/>
          <w:sz w:val="22"/>
        </w:rPr>
        <w:t xml:space="preserve">required </w:t>
      </w:r>
      <w:r>
        <w:rPr>
          <w:rFonts w:ascii="Arial" w:hAnsi="Arial"/>
          <w:sz w:val="22"/>
        </w:rPr>
        <w:t xml:space="preserve">debt service, (vi) that the project demonstrates reasonable operating expenses </w:t>
      </w:r>
      <w:r w:rsidR="00AA011A">
        <w:rPr>
          <w:rFonts w:ascii="Arial" w:hAnsi="Arial"/>
          <w:sz w:val="22"/>
        </w:rPr>
        <w:t>when compared to projects for which the Board has awarded HTCs previously</w:t>
      </w:r>
      <w:r>
        <w:rPr>
          <w:rFonts w:ascii="Arial" w:hAnsi="Arial"/>
          <w:sz w:val="22"/>
        </w:rPr>
        <w:t xml:space="preserve">, and (vii) that </w:t>
      </w:r>
      <w:r w:rsidR="00AA011A">
        <w:rPr>
          <w:rFonts w:ascii="Arial" w:hAnsi="Arial"/>
          <w:sz w:val="22"/>
        </w:rPr>
        <w:t xml:space="preserve">when constructed or rehabilitated, </w:t>
      </w:r>
      <w:r>
        <w:rPr>
          <w:rFonts w:ascii="Arial" w:hAnsi="Arial"/>
          <w:sz w:val="22"/>
        </w:rPr>
        <w:t xml:space="preserve">the project will </w:t>
      </w:r>
      <w:r w:rsidR="00AA011A">
        <w:rPr>
          <w:rFonts w:ascii="Arial" w:hAnsi="Arial"/>
          <w:sz w:val="22"/>
        </w:rPr>
        <w:t xml:space="preserve">be in compliance </w:t>
      </w:r>
      <w:r>
        <w:rPr>
          <w:rFonts w:ascii="Arial" w:hAnsi="Arial"/>
          <w:sz w:val="22"/>
        </w:rPr>
        <w:t xml:space="preserve">with </w:t>
      </w:r>
      <w:r w:rsidR="00AA011A">
        <w:rPr>
          <w:rFonts w:ascii="Arial" w:hAnsi="Arial"/>
          <w:sz w:val="22"/>
        </w:rPr>
        <w:t xml:space="preserve">all </w:t>
      </w:r>
      <w:r>
        <w:rPr>
          <w:rFonts w:ascii="Arial" w:hAnsi="Arial"/>
          <w:sz w:val="22"/>
        </w:rPr>
        <w:t>applicable building, land use and zoning ordinances</w:t>
      </w:r>
      <w:r w:rsidR="00AA011A">
        <w:rPr>
          <w:rFonts w:ascii="Arial" w:hAnsi="Arial"/>
          <w:sz w:val="22"/>
        </w:rPr>
        <w:t xml:space="preserve"> and requirements</w:t>
      </w:r>
      <w:r w:rsidR="00867B03">
        <w:rPr>
          <w:rFonts w:ascii="Arial" w:hAnsi="Arial"/>
          <w:sz w:val="22"/>
        </w:rPr>
        <w:t>, (viii)</w:t>
      </w:r>
      <w:r>
        <w:rPr>
          <w:rFonts w:ascii="Arial" w:hAnsi="Arial"/>
          <w:sz w:val="22"/>
        </w:rPr>
        <w:t xml:space="preserve"> the Costs of Intermediaries are not </w:t>
      </w:r>
      <w:r w:rsidRPr="00867B03">
        <w:rPr>
          <w:rFonts w:ascii="Arial" w:hAnsi="Arial"/>
          <w:sz w:val="22"/>
        </w:rPr>
        <w:t>excessive for a project of that nature in that location</w:t>
      </w:r>
      <w:r w:rsidR="00867B03">
        <w:rPr>
          <w:rFonts w:ascii="Arial" w:hAnsi="Arial"/>
          <w:sz w:val="22"/>
        </w:rPr>
        <w:t>, and (ix)</w:t>
      </w:r>
      <w:r>
        <w:rPr>
          <w:rFonts w:ascii="Arial" w:hAnsi="Arial"/>
          <w:sz w:val="22"/>
        </w:rPr>
        <w:t xml:space="preserve"> the project conforms to the City of Minneapolis’ Consolidated Plan</w:t>
      </w:r>
      <w:r w:rsidR="002F3262">
        <w:rPr>
          <w:rFonts w:ascii="Arial" w:hAnsi="Arial"/>
          <w:sz w:val="22"/>
        </w:rPr>
        <w:t>, Comprehensive Plan, or any City adopted neighborhood plan document</w:t>
      </w:r>
      <w:r w:rsidR="00F41E09">
        <w:rPr>
          <w:rFonts w:ascii="Arial" w:hAnsi="Arial"/>
          <w:sz w:val="22"/>
        </w:rPr>
        <w:t xml:space="preserve"> (if located in Minneapolis)</w:t>
      </w:r>
      <w:r>
        <w:rPr>
          <w:rFonts w:ascii="Arial" w:hAnsi="Arial"/>
          <w:sz w:val="22"/>
        </w:rPr>
        <w:t xml:space="preserve"> or the City of Saint Paul’s Consolidated Plan</w:t>
      </w:r>
      <w:r w:rsidR="002F3262">
        <w:rPr>
          <w:rFonts w:ascii="Arial" w:hAnsi="Arial"/>
          <w:sz w:val="22"/>
        </w:rPr>
        <w:t xml:space="preserve">, Comprehensive Plan or Small Area Plans </w:t>
      </w:r>
      <w:r>
        <w:rPr>
          <w:rFonts w:ascii="Arial" w:hAnsi="Arial"/>
          <w:sz w:val="22"/>
        </w:rPr>
        <w:t>as approved by the Department of Housing and Urban Development</w:t>
      </w:r>
      <w:r w:rsidR="00F41E09">
        <w:rPr>
          <w:rFonts w:ascii="Arial" w:hAnsi="Arial"/>
          <w:sz w:val="22"/>
        </w:rPr>
        <w:t xml:space="preserve"> (if located in Saint Paul)</w:t>
      </w:r>
      <w:r>
        <w:rPr>
          <w:rFonts w:ascii="Arial" w:hAnsi="Arial"/>
          <w:sz w:val="22"/>
        </w:rPr>
        <w:t>.</w:t>
      </w:r>
    </w:p>
    <w:p w14:paraId="4C167051" w14:textId="77777777" w:rsidR="00043EEF" w:rsidRDefault="00043EEF" w:rsidP="00E90467">
      <w:pPr>
        <w:jc w:val="both"/>
        <w:rPr>
          <w:rFonts w:ascii="Arial" w:hAnsi="Arial"/>
          <w:sz w:val="22"/>
        </w:rPr>
      </w:pPr>
    </w:p>
    <w:p w14:paraId="13DFBE34" w14:textId="77777777" w:rsidR="00043EEF" w:rsidRDefault="00043EEF" w:rsidP="00F41E09">
      <w:pPr>
        <w:jc w:val="both"/>
        <w:rPr>
          <w:rFonts w:ascii="Arial" w:hAnsi="Arial"/>
          <w:sz w:val="22"/>
        </w:rPr>
      </w:pPr>
      <w:r>
        <w:rPr>
          <w:rFonts w:ascii="Arial" w:hAnsi="Arial"/>
          <w:sz w:val="22"/>
        </w:rPr>
        <w:tab/>
      </w:r>
      <w:r w:rsidR="002F3262">
        <w:rPr>
          <w:rFonts w:ascii="Arial" w:hAnsi="Arial"/>
          <w:sz w:val="22"/>
        </w:rPr>
        <w:t>E</w:t>
      </w:r>
      <w:r>
        <w:rPr>
          <w:rFonts w:ascii="Arial" w:hAnsi="Arial"/>
          <w:sz w:val="22"/>
        </w:rPr>
        <w:t>.</w:t>
      </w:r>
      <w:r>
        <w:rPr>
          <w:rFonts w:ascii="Arial" w:hAnsi="Arial"/>
          <w:sz w:val="22"/>
        </w:rPr>
        <w:tab/>
        <w:t>Th</w:t>
      </w:r>
      <w:r w:rsidR="00EE6348">
        <w:rPr>
          <w:rFonts w:ascii="Arial" w:hAnsi="Arial"/>
          <w:sz w:val="22"/>
        </w:rPr>
        <w:t xml:space="preserve">e </w:t>
      </w:r>
      <w:r w:rsidR="00F41E09">
        <w:rPr>
          <w:rFonts w:ascii="Arial" w:hAnsi="Arial"/>
          <w:sz w:val="22"/>
        </w:rPr>
        <w:t xml:space="preserve">project </w:t>
      </w:r>
      <w:r w:rsidR="00EE6348">
        <w:rPr>
          <w:rFonts w:ascii="Arial" w:hAnsi="Arial"/>
          <w:sz w:val="22"/>
        </w:rPr>
        <w:t xml:space="preserve">owner </w:t>
      </w:r>
      <w:r>
        <w:rPr>
          <w:rFonts w:ascii="Arial" w:hAnsi="Arial"/>
          <w:sz w:val="22"/>
        </w:rPr>
        <w:t xml:space="preserve">must agree to </w:t>
      </w:r>
      <w:proofErr w:type="gramStart"/>
      <w:r>
        <w:rPr>
          <w:rFonts w:ascii="Arial" w:hAnsi="Arial"/>
          <w:sz w:val="22"/>
        </w:rPr>
        <w:t>enter into</w:t>
      </w:r>
      <w:proofErr w:type="gramEnd"/>
      <w:r>
        <w:rPr>
          <w:rFonts w:ascii="Arial" w:hAnsi="Arial"/>
          <w:sz w:val="22"/>
        </w:rPr>
        <w:t xml:space="preserve"> a Declaration as required by Section 42 of the Code in form and substance satisfactory to </w:t>
      </w:r>
      <w:r w:rsidR="00F178C4">
        <w:rPr>
          <w:rFonts w:ascii="Arial" w:hAnsi="Arial"/>
          <w:sz w:val="22"/>
        </w:rPr>
        <w:t>CPED</w:t>
      </w:r>
      <w:r>
        <w:rPr>
          <w:rFonts w:ascii="Arial" w:hAnsi="Arial"/>
          <w:sz w:val="22"/>
        </w:rPr>
        <w:t xml:space="preserve"> or PED, as applicable</w:t>
      </w:r>
      <w:r w:rsidR="00F41E09">
        <w:rPr>
          <w:rFonts w:ascii="Arial" w:hAnsi="Arial"/>
          <w:sz w:val="22"/>
        </w:rPr>
        <w:t>.</w:t>
      </w:r>
      <w:r w:rsidR="00666F77">
        <w:rPr>
          <w:rFonts w:ascii="Arial" w:hAnsi="Arial"/>
          <w:sz w:val="22"/>
        </w:rPr>
        <w:t xml:space="preserve"> </w:t>
      </w:r>
    </w:p>
    <w:p w14:paraId="09907E27" w14:textId="77777777" w:rsidR="00043EEF" w:rsidRDefault="00043EEF">
      <w:pPr>
        <w:rPr>
          <w:rFonts w:ascii="Arial" w:hAnsi="Arial"/>
          <w:sz w:val="22"/>
        </w:rPr>
      </w:pPr>
    </w:p>
    <w:p w14:paraId="0744468F" w14:textId="6C61691E" w:rsidR="005B7D2A" w:rsidRDefault="002F3262" w:rsidP="00F41E09">
      <w:pPr>
        <w:autoSpaceDE w:val="0"/>
        <w:autoSpaceDN w:val="0"/>
        <w:adjustRightInd w:val="0"/>
        <w:ind w:firstLine="720"/>
        <w:jc w:val="both"/>
        <w:rPr>
          <w:rFonts w:ascii="Arial" w:hAnsi="Arial"/>
          <w:sz w:val="22"/>
        </w:rPr>
      </w:pPr>
      <w:r>
        <w:rPr>
          <w:rFonts w:ascii="Arial" w:hAnsi="Arial"/>
          <w:sz w:val="22"/>
        </w:rPr>
        <w:t>F</w:t>
      </w:r>
      <w:r w:rsidR="004E13EA">
        <w:rPr>
          <w:rFonts w:ascii="Arial" w:hAnsi="Arial"/>
          <w:sz w:val="22"/>
        </w:rPr>
        <w:t>.</w:t>
      </w:r>
      <w:r w:rsidR="004E13EA">
        <w:rPr>
          <w:rFonts w:ascii="Arial" w:hAnsi="Arial"/>
          <w:sz w:val="22"/>
        </w:rPr>
        <w:tab/>
      </w:r>
      <w:r w:rsidR="005B7D2A">
        <w:rPr>
          <w:rFonts w:ascii="Arial" w:hAnsi="Arial"/>
          <w:sz w:val="22"/>
        </w:rPr>
        <w:t>T</w:t>
      </w:r>
      <w:r w:rsidR="00666F77">
        <w:rPr>
          <w:rFonts w:ascii="Arial" w:hAnsi="Arial"/>
          <w:sz w:val="22"/>
        </w:rPr>
        <w:t xml:space="preserve">he </w:t>
      </w:r>
      <w:r w:rsidR="00F41E09">
        <w:rPr>
          <w:rFonts w:ascii="Arial" w:hAnsi="Arial"/>
          <w:sz w:val="22"/>
        </w:rPr>
        <w:t xml:space="preserve">project </w:t>
      </w:r>
      <w:r w:rsidR="00666F77">
        <w:rPr>
          <w:rFonts w:ascii="Arial" w:hAnsi="Arial"/>
          <w:sz w:val="22"/>
        </w:rPr>
        <w:t xml:space="preserve">owner </w:t>
      </w:r>
      <w:r w:rsidR="004E13EA">
        <w:rPr>
          <w:rFonts w:ascii="Arial" w:hAnsi="Arial"/>
          <w:sz w:val="22"/>
        </w:rPr>
        <w:t xml:space="preserve">must </w:t>
      </w:r>
      <w:r w:rsidR="004E13EA" w:rsidRPr="006F61D0">
        <w:rPr>
          <w:rFonts w:ascii="Arial" w:hAnsi="Arial"/>
          <w:sz w:val="22"/>
        </w:rPr>
        <w:t>agree to waive its rights under Section</w:t>
      </w:r>
      <w:r w:rsidR="0027069F">
        <w:rPr>
          <w:rFonts w:ascii="Arial" w:hAnsi="Arial"/>
          <w:sz w:val="22"/>
        </w:rPr>
        <w:t>s</w:t>
      </w:r>
      <w:r w:rsidR="004E13EA">
        <w:rPr>
          <w:rFonts w:ascii="Arial" w:hAnsi="Arial"/>
          <w:sz w:val="22"/>
        </w:rPr>
        <w:t xml:space="preserve"> </w:t>
      </w:r>
      <w:r w:rsidR="004E13EA" w:rsidRPr="006F61D0">
        <w:rPr>
          <w:rFonts w:ascii="Arial" w:hAnsi="Arial"/>
          <w:sz w:val="22"/>
        </w:rPr>
        <w:t>42(h)(6)(E)(</w:t>
      </w:r>
      <w:proofErr w:type="spellStart"/>
      <w:r w:rsidR="004E13EA" w:rsidRPr="006F61D0">
        <w:rPr>
          <w:rFonts w:ascii="Arial" w:hAnsi="Arial"/>
          <w:sz w:val="22"/>
        </w:rPr>
        <w:t>i</w:t>
      </w:r>
      <w:proofErr w:type="spellEnd"/>
      <w:r w:rsidR="004E13EA" w:rsidRPr="006F61D0">
        <w:rPr>
          <w:rFonts w:ascii="Arial" w:hAnsi="Arial"/>
          <w:sz w:val="22"/>
        </w:rPr>
        <w:t xml:space="preserve">)(II) and </w:t>
      </w:r>
      <w:r w:rsidR="00F41E09">
        <w:rPr>
          <w:rFonts w:ascii="Arial" w:hAnsi="Arial"/>
          <w:sz w:val="22"/>
        </w:rPr>
        <w:t>4</w:t>
      </w:r>
      <w:r w:rsidR="004E13EA" w:rsidRPr="006F61D0">
        <w:rPr>
          <w:rFonts w:ascii="Arial" w:hAnsi="Arial"/>
          <w:sz w:val="22"/>
        </w:rPr>
        <w:t>2</w:t>
      </w:r>
      <w:r w:rsidR="00EE6348">
        <w:rPr>
          <w:rFonts w:ascii="Arial" w:hAnsi="Arial"/>
          <w:sz w:val="22"/>
        </w:rPr>
        <w:t xml:space="preserve">(h)(6)(F) </w:t>
      </w:r>
      <w:r w:rsidR="00666F77">
        <w:rPr>
          <w:rFonts w:ascii="Arial" w:hAnsi="Arial"/>
          <w:sz w:val="22"/>
        </w:rPr>
        <w:t xml:space="preserve">of the Code </w:t>
      </w:r>
      <w:r w:rsidR="00F41E09">
        <w:rPr>
          <w:rFonts w:ascii="Arial" w:hAnsi="Arial"/>
          <w:sz w:val="22"/>
        </w:rPr>
        <w:t xml:space="preserve">which, if applicable, would otherwise allow </w:t>
      </w:r>
      <w:r w:rsidR="00EE6348">
        <w:rPr>
          <w:rFonts w:ascii="Arial" w:hAnsi="Arial"/>
          <w:sz w:val="22"/>
        </w:rPr>
        <w:t xml:space="preserve">the </w:t>
      </w:r>
      <w:r w:rsidR="00F41E09">
        <w:rPr>
          <w:rFonts w:ascii="Arial" w:hAnsi="Arial"/>
          <w:sz w:val="22"/>
        </w:rPr>
        <w:t xml:space="preserve">project </w:t>
      </w:r>
      <w:r w:rsidR="00EE6348">
        <w:rPr>
          <w:rFonts w:ascii="Arial" w:hAnsi="Arial"/>
          <w:sz w:val="22"/>
        </w:rPr>
        <w:t>owner</w:t>
      </w:r>
      <w:r w:rsidR="004E13EA" w:rsidRPr="006F61D0">
        <w:rPr>
          <w:rFonts w:ascii="Arial" w:hAnsi="Arial"/>
          <w:sz w:val="22"/>
        </w:rPr>
        <w:t xml:space="preserve"> to</w:t>
      </w:r>
      <w:r w:rsidR="00F41E09">
        <w:rPr>
          <w:rFonts w:ascii="Arial" w:hAnsi="Arial"/>
          <w:sz w:val="22"/>
        </w:rPr>
        <w:t>, in some cases,</w:t>
      </w:r>
      <w:r w:rsidR="004E13EA" w:rsidRPr="006F61D0">
        <w:rPr>
          <w:rFonts w:ascii="Arial" w:hAnsi="Arial"/>
          <w:sz w:val="22"/>
        </w:rPr>
        <w:t xml:space="preserve"> terminate the Declaration after </w:t>
      </w:r>
      <w:r w:rsidR="0032518F">
        <w:rPr>
          <w:rFonts w:ascii="Arial" w:hAnsi="Arial"/>
          <w:sz w:val="22"/>
        </w:rPr>
        <w:t xml:space="preserve">the </w:t>
      </w:r>
      <w:r w:rsidR="00EE6348">
        <w:rPr>
          <w:rFonts w:ascii="Arial" w:hAnsi="Arial"/>
          <w:sz w:val="22"/>
        </w:rPr>
        <w:t>end of the 15-</w:t>
      </w:r>
      <w:r w:rsidR="0032518F">
        <w:rPr>
          <w:rFonts w:ascii="Arial" w:hAnsi="Arial"/>
          <w:sz w:val="22"/>
        </w:rPr>
        <w:t xml:space="preserve">year </w:t>
      </w:r>
      <w:r w:rsidR="0032518F" w:rsidRPr="00867B03">
        <w:rPr>
          <w:rFonts w:ascii="Arial" w:hAnsi="Arial"/>
          <w:sz w:val="22"/>
        </w:rPr>
        <w:t>compliance period</w:t>
      </w:r>
      <w:r w:rsidR="004E13EA" w:rsidRPr="00867B03">
        <w:rPr>
          <w:rFonts w:ascii="Arial" w:hAnsi="Arial"/>
          <w:sz w:val="22"/>
        </w:rPr>
        <w:t>.</w:t>
      </w:r>
      <w:r w:rsidR="0007573A" w:rsidRPr="00867B03">
        <w:rPr>
          <w:rFonts w:ascii="Arial" w:hAnsi="Arial"/>
          <w:sz w:val="22"/>
        </w:rPr>
        <w:t xml:space="preserve">  </w:t>
      </w:r>
      <w:r w:rsidR="0032518F" w:rsidRPr="00867B03">
        <w:rPr>
          <w:rFonts w:ascii="Arial" w:hAnsi="Arial"/>
          <w:sz w:val="22"/>
        </w:rPr>
        <w:t>Applica</w:t>
      </w:r>
      <w:r w:rsidR="00BC115C" w:rsidRPr="00867B03">
        <w:rPr>
          <w:rFonts w:ascii="Arial" w:hAnsi="Arial"/>
          <w:sz w:val="22"/>
        </w:rPr>
        <w:t>n</w:t>
      </w:r>
      <w:r w:rsidR="0032518F" w:rsidRPr="00867B03">
        <w:rPr>
          <w:rFonts w:ascii="Arial" w:hAnsi="Arial"/>
          <w:sz w:val="22"/>
        </w:rPr>
        <w:t>t</w:t>
      </w:r>
      <w:r w:rsidR="00BC115C" w:rsidRPr="00867B03">
        <w:rPr>
          <w:rFonts w:ascii="Arial" w:hAnsi="Arial"/>
          <w:sz w:val="22"/>
        </w:rPr>
        <w:t>s</w:t>
      </w:r>
      <w:r w:rsidR="0032518F" w:rsidRPr="00867B03">
        <w:rPr>
          <w:rFonts w:ascii="Arial" w:hAnsi="Arial"/>
          <w:sz w:val="22"/>
        </w:rPr>
        <w:t xml:space="preserve"> </w:t>
      </w:r>
      <w:r w:rsidR="00BC115C" w:rsidRPr="00867B03">
        <w:rPr>
          <w:rFonts w:ascii="Arial" w:hAnsi="Arial"/>
          <w:sz w:val="22"/>
        </w:rPr>
        <w:t xml:space="preserve">applying for </w:t>
      </w:r>
      <w:r w:rsidR="00CF230D">
        <w:rPr>
          <w:rFonts w:ascii="Arial" w:hAnsi="Arial"/>
          <w:sz w:val="22"/>
        </w:rPr>
        <w:t xml:space="preserve">9% and </w:t>
      </w:r>
      <w:r w:rsidR="0032518F" w:rsidRPr="00867B03">
        <w:rPr>
          <w:rFonts w:ascii="Arial" w:hAnsi="Arial"/>
          <w:sz w:val="22"/>
        </w:rPr>
        <w:t xml:space="preserve">4% </w:t>
      </w:r>
      <w:r w:rsidR="00F41E09" w:rsidRPr="00867B03">
        <w:rPr>
          <w:rFonts w:ascii="Arial" w:hAnsi="Arial"/>
          <w:sz w:val="22"/>
        </w:rPr>
        <w:t>HTC</w:t>
      </w:r>
      <w:r w:rsidR="005B7D2A" w:rsidRPr="00867B03">
        <w:rPr>
          <w:rFonts w:ascii="Arial" w:hAnsi="Arial"/>
          <w:sz w:val="22"/>
        </w:rPr>
        <w:t xml:space="preserve"> in conjunction with </w:t>
      </w:r>
      <w:r w:rsidR="00BC115C" w:rsidRPr="00867B03">
        <w:rPr>
          <w:rFonts w:ascii="Arial" w:hAnsi="Arial"/>
          <w:sz w:val="22"/>
        </w:rPr>
        <w:t xml:space="preserve">the issuance of </w:t>
      </w:r>
      <w:r w:rsidR="005B7D2A" w:rsidRPr="00867B03">
        <w:rPr>
          <w:rFonts w:ascii="Arial" w:hAnsi="Arial"/>
          <w:sz w:val="22"/>
        </w:rPr>
        <w:t>tax-exempt bonds must agree to extend the long-term affordability of the project a</w:t>
      </w:r>
      <w:r w:rsidR="00BC115C" w:rsidRPr="00867B03">
        <w:rPr>
          <w:rFonts w:ascii="Arial" w:hAnsi="Arial"/>
          <w:sz w:val="22"/>
        </w:rPr>
        <w:t>nd maintain the duration of low-</w:t>
      </w:r>
      <w:r w:rsidR="005B7D2A" w:rsidRPr="00867B03">
        <w:rPr>
          <w:rFonts w:ascii="Arial" w:hAnsi="Arial"/>
          <w:sz w:val="22"/>
        </w:rPr>
        <w:t>income</w:t>
      </w:r>
      <w:r w:rsidR="00BC115C" w:rsidRPr="00867B03">
        <w:rPr>
          <w:rFonts w:ascii="Arial" w:hAnsi="Arial"/>
          <w:sz w:val="22"/>
        </w:rPr>
        <w:t>/rent restricted</w:t>
      </w:r>
      <w:r w:rsidR="005B7D2A" w:rsidRPr="00867B03">
        <w:rPr>
          <w:rFonts w:ascii="Arial" w:hAnsi="Arial"/>
          <w:sz w:val="22"/>
        </w:rPr>
        <w:t xml:space="preserve"> housing use for a minimum of </w:t>
      </w:r>
      <w:r w:rsidR="002B45BD">
        <w:rPr>
          <w:rFonts w:ascii="Arial" w:hAnsi="Arial"/>
          <w:sz w:val="22"/>
        </w:rPr>
        <w:t xml:space="preserve">thirty </w:t>
      </w:r>
      <w:r w:rsidR="005B7D2A" w:rsidRPr="00867B03">
        <w:rPr>
          <w:rFonts w:ascii="Arial" w:hAnsi="Arial"/>
          <w:sz w:val="22"/>
        </w:rPr>
        <w:t>(</w:t>
      </w:r>
      <w:r w:rsidR="00550BEA">
        <w:rPr>
          <w:rFonts w:ascii="Arial" w:hAnsi="Arial"/>
          <w:sz w:val="22"/>
        </w:rPr>
        <w:t>3</w:t>
      </w:r>
      <w:r w:rsidR="00757202">
        <w:rPr>
          <w:rFonts w:ascii="Arial" w:hAnsi="Arial"/>
          <w:sz w:val="22"/>
        </w:rPr>
        <w:t>0</w:t>
      </w:r>
      <w:r w:rsidR="005B7D2A" w:rsidRPr="00867B03">
        <w:rPr>
          <w:rFonts w:ascii="Arial" w:hAnsi="Arial"/>
          <w:sz w:val="22"/>
        </w:rPr>
        <w:t>) years.</w:t>
      </w:r>
      <w:r w:rsidR="005B7D2A">
        <w:rPr>
          <w:rFonts w:ascii="Arial" w:hAnsi="Arial"/>
          <w:sz w:val="22"/>
        </w:rPr>
        <w:t xml:space="preserve"> </w:t>
      </w:r>
    </w:p>
    <w:p w14:paraId="61538BC0" w14:textId="77777777" w:rsidR="005B7D2A" w:rsidRDefault="005B7D2A" w:rsidP="00F41E09">
      <w:pPr>
        <w:jc w:val="both"/>
        <w:rPr>
          <w:rFonts w:ascii="Arial" w:hAnsi="Arial"/>
          <w:sz w:val="22"/>
        </w:rPr>
      </w:pPr>
    </w:p>
    <w:p w14:paraId="5D25409B" w14:textId="77777777" w:rsidR="00043EEF" w:rsidRDefault="00043EEF" w:rsidP="00F41E09">
      <w:pPr>
        <w:jc w:val="both"/>
        <w:rPr>
          <w:rFonts w:ascii="Arial" w:hAnsi="Arial"/>
          <w:sz w:val="22"/>
        </w:rPr>
      </w:pPr>
      <w:r>
        <w:rPr>
          <w:rFonts w:ascii="Arial" w:hAnsi="Arial"/>
          <w:sz w:val="22"/>
        </w:rPr>
        <w:tab/>
      </w:r>
      <w:r w:rsidR="00D50A11">
        <w:rPr>
          <w:rFonts w:ascii="Arial" w:hAnsi="Arial"/>
          <w:sz w:val="22"/>
        </w:rPr>
        <w:t>G</w:t>
      </w:r>
      <w:r w:rsidR="004E13EA">
        <w:rPr>
          <w:rFonts w:ascii="Arial" w:hAnsi="Arial"/>
          <w:sz w:val="22"/>
        </w:rPr>
        <w:t>.</w:t>
      </w:r>
      <w:r w:rsidR="00C3168C">
        <w:rPr>
          <w:rFonts w:ascii="Arial" w:hAnsi="Arial"/>
          <w:sz w:val="22"/>
        </w:rPr>
        <w:tab/>
        <w:t xml:space="preserve">The </w:t>
      </w:r>
      <w:r w:rsidR="00BC115C">
        <w:rPr>
          <w:rFonts w:ascii="Arial" w:hAnsi="Arial"/>
          <w:sz w:val="22"/>
        </w:rPr>
        <w:t xml:space="preserve">project </w:t>
      </w:r>
      <w:r w:rsidR="00C3168C">
        <w:rPr>
          <w:rFonts w:ascii="Arial" w:hAnsi="Arial"/>
          <w:sz w:val="22"/>
        </w:rPr>
        <w:t xml:space="preserve">owner </w:t>
      </w:r>
      <w:r>
        <w:rPr>
          <w:rFonts w:ascii="Arial" w:hAnsi="Arial"/>
          <w:sz w:val="22"/>
        </w:rPr>
        <w:t>must agree to utilize public housing waiting list(s) in marketing units to the public.  The applicabl</w:t>
      </w:r>
      <w:r w:rsidR="00C3168C">
        <w:rPr>
          <w:rFonts w:ascii="Arial" w:hAnsi="Arial"/>
          <w:sz w:val="22"/>
        </w:rPr>
        <w:t xml:space="preserve">e public housing authority must </w:t>
      </w:r>
      <w:r w:rsidR="00BC115C">
        <w:rPr>
          <w:rFonts w:ascii="Arial" w:hAnsi="Arial"/>
          <w:sz w:val="22"/>
        </w:rPr>
        <w:t xml:space="preserve">agree with the project owner to </w:t>
      </w:r>
      <w:r>
        <w:rPr>
          <w:rFonts w:ascii="Arial" w:hAnsi="Arial"/>
          <w:sz w:val="22"/>
        </w:rPr>
        <w:t>provide referrals from its wai</w:t>
      </w:r>
      <w:r w:rsidR="00C3168C">
        <w:rPr>
          <w:rFonts w:ascii="Arial" w:hAnsi="Arial"/>
          <w:sz w:val="22"/>
        </w:rPr>
        <w:t>ting list to which the owner</w:t>
      </w:r>
      <w:r>
        <w:rPr>
          <w:rFonts w:ascii="Arial" w:hAnsi="Arial"/>
          <w:sz w:val="22"/>
        </w:rPr>
        <w:t xml:space="preserve"> will provide a notice of initial vacancies, </w:t>
      </w:r>
      <w:r w:rsidR="00C3168C">
        <w:rPr>
          <w:rFonts w:ascii="Arial" w:hAnsi="Arial"/>
          <w:sz w:val="22"/>
        </w:rPr>
        <w:t>including notices of open units</w:t>
      </w:r>
      <w:r>
        <w:rPr>
          <w:rFonts w:ascii="Arial" w:hAnsi="Arial"/>
          <w:sz w:val="22"/>
        </w:rPr>
        <w:t>.</w:t>
      </w:r>
    </w:p>
    <w:p w14:paraId="792C5DCF" w14:textId="77777777" w:rsidR="00043EEF" w:rsidRDefault="00043EEF" w:rsidP="00F41E09">
      <w:pPr>
        <w:jc w:val="both"/>
        <w:rPr>
          <w:rFonts w:ascii="Arial" w:hAnsi="Arial"/>
          <w:sz w:val="22"/>
        </w:rPr>
      </w:pPr>
    </w:p>
    <w:p w14:paraId="3617D6CB" w14:textId="112B0DB7" w:rsidR="00AA34D7" w:rsidRPr="00AA34D7" w:rsidRDefault="00D50A11" w:rsidP="18356903">
      <w:pPr>
        <w:ind w:firstLine="720"/>
        <w:jc w:val="both"/>
        <w:rPr>
          <w:rFonts w:ascii="Arial" w:hAnsi="Arial"/>
          <w:sz w:val="22"/>
          <w:szCs w:val="22"/>
        </w:rPr>
      </w:pPr>
      <w:r w:rsidRPr="18356903">
        <w:rPr>
          <w:rFonts w:ascii="Arial" w:hAnsi="Arial"/>
          <w:sz w:val="22"/>
          <w:szCs w:val="22"/>
        </w:rPr>
        <w:t>H.</w:t>
      </w:r>
      <w:r>
        <w:tab/>
      </w:r>
      <w:r w:rsidR="00C3168C" w:rsidRPr="18356903">
        <w:rPr>
          <w:rFonts w:ascii="Arial" w:hAnsi="Arial"/>
          <w:sz w:val="22"/>
          <w:szCs w:val="22"/>
        </w:rPr>
        <w:t>The project must create housing that is</w:t>
      </w:r>
      <w:r w:rsidR="0007573A" w:rsidRPr="18356903">
        <w:rPr>
          <w:rFonts w:ascii="Arial" w:hAnsi="Arial"/>
          <w:sz w:val="22"/>
          <w:szCs w:val="22"/>
        </w:rPr>
        <w:t xml:space="preserve"> durable, healthy, and efficient</w:t>
      </w:r>
      <w:r w:rsidR="0056337C" w:rsidRPr="18356903">
        <w:rPr>
          <w:rFonts w:ascii="Arial" w:hAnsi="Arial"/>
          <w:sz w:val="22"/>
          <w:szCs w:val="22"/>
        </w:rPr>
        <w:t>.</w:t>
      </w:r>
      <w:r w:rsidR="0007573A" w:rsidRPr="18356903">
        <w:rPr>
          <w:rFonts w:ascii="Arial" w:hAnsi="Arial"/>
          <w:sz w:val="22"/>
          <w:szCs w:val="22"/>
        </w:rPr>
        <w:t xml:space="preserve"> </w:t>
      </w:r>
      <w:r w:rsidR="00C3168C" w:rsidRPr="18356903">
        <w:rPr>
          <w:rFonts w:ascii="Arial" w:hAnsi="Arial"/>
          <w:sz w:val="22"/>
          <w:szCs w:val="22"/>
        </w:rPr>
        <w:t>Owners</w:t>
      </w:r>
      <w:r w:rsidR="0007573A" w:rsidRPr="18356903">
        <w:rPr>
          <w:rFonts w:ascii="Arial" w:hAnsi="Arial"/>
          <w:sz w:val="22"/>
          <w:szCs w:val="22"/>
        </w:rPr>
        <w:t xml:space="preserve"> are required to incorporate sustainability elements consistent with the most current Enterprise Green Communities Criteria and Minnesota Overlay and Guide to the Enterprise Green Communities </w:t>
      </w:r>
      <w:r w:rsidR="0007573A" w:rsidRPr="18356903">
        <w:rPr>
          <w:rFonts w:ascii="Arial" w:hAnsi="Arial"/>
          <w:sz w:val="22"/>
          <w:szCs w:val="22"/>
        </w:rPr>
        <w:lastRenderedPageBreak/>
        <w:t>Criteria (as established by Minnesota Housing).</w:t>
      </w:r>
      <w:r w:rsidR="00AA34D7" w:rsidRPr="18356903">
        <w:rPr>
          <w:rFonts w:ascii="Arial" w:hAnsi="Arial"/>
          <w:sz w:val="22"/>
          <w:szCs w:val="22"/>
        </w:rPr>
        <w:t xml:space="preserve"> Specifically for Saint Paul projects, a</w:t>
      </w:r>
      <w:r w:rsidR="00AA34D7" w:rsidRPr="18356903">
        <w:rPr>
          <w:rStyle w:val="Emphasis"/>
          <w:rFonts w:ascii="Arial" w:hAnsi="Arial" w:cs="Arial"/>
          <w:i w:val="0"/>
          <w:iCs w:val="0"/>
          <w:sz w:val="22"/>
          <w:szCs w:val="22"/>
        </w:rPr>
        <w:t>ll new construction projects must comply with Saint Paul Sustainable Building Policy</w:t>
      </w:r>
      <w:r w:rsidR="00C479A9" w:rsidRPr="18356903">
        <w:rPr>
          <w:rStyle w:val="Emphasis"/>
          <w:rFonts w:ascii="Arial" w:hAnsi="Arial" w:cs="Arial"/>
          <w:i w:val="0"/>
          <w:iCs w:val="0"/>
          <w:sz w:val="22"/>
          <w:szCs w:val="22"/>
        </w:rPr>
        <w:t>.</w:t>
      </w:r>
    </w:p>
    <w:p w14:paraId="4B8A2676" w14:textId="012C324C" w:rsidR="18356903" w:rsidRDefault="18356903" w:rsidP="18356903">
      <w:pPr>
        <w:ind w:firstLine="720"/>
        <w:jc w:val="both"/>
        <w:rPr>
          <w:rStyle w:val="Emphasis"/>
          <w:rFonts w:ascii="Arial" w:hAnsi="Arial" w:cs="Arial"/>
          <w:i w:val="0"/>
          <w:iCs w:val="0"/>
          <w:sz w:val="22"/>
          <w:szCs w:val="22"/>
        </w:rPr>
      </w:pPr>
    </w:p>
    <w:p w14:paraId="355F68EC" w14:textId="09DF2127" w:rsidR="6B713C55" w:rsidRDefault="4898E34D" w:rsidP="00C77D6C">
      <w:pPr>
        <w:pStyle w:val="ListParagraph"/>
        <w:numPr>
          <w:ilvl w:val="0"/>
          <w:numId w:val="1"/>
        </w:numPr>
        <w:ind w:left="0" w:firstLine="720"/>
        <w:jc w:val="both"/>
        <w:rPr>
          <w:rStyle w:val="Emphasis"/>
          <w:rFonts w:ascii="Arial" w:hAnsi="Arial" w:cs="Arial"/>
          <w:i w:val="0"/>
          <w:iCs w:val="0"/>
          <w:sz w:val="22"/>
          <w:szCs w:val="22"/>
        </w:rPr>
      </w:pPr>
      <w:r w:rsidRPr="3876365B">
        <w:rPr>
          <w:rStyle w:val="Emphasis"/>
          <w:rFonts w:ascii="Arial" w:hAnsi="Arial" w:cs="Arial"/>
          <w:i w:val="0"/>
          <w:iCs w:val="0"/>
          <w:sz w:val="22"/>
          <w:szCs w:val="22"/>
        </w:rPr>
        <w:t>Projects selected for</w:t>
      </w:r>
      <w:r w:rsidR="42F793C1" w:rsidRPr="3876365B">
        <w:rPr>
          <w:rStyle w:val="Emphasis"/>
          <w:rFonts w:ascii="Arial" w:hAnsi="Arial" w:cs="Arial"/>
          <w:i w:val="0"/>
          <w:iCs w:val="0"/>
          <w:sz w:val="22"/>
          <w:szCs w:val="22"/>
        </w:rPr>
        <w:t xml:space="preserve"> </w:t>
      </w:r>
      <w:r w:rsidRPr="3876365B">
        <w:rPr>
          <w:rStyle w:val="Emphasis"/>
          <w:rFonts w:ascii="Arial" w:hAnsi="Arial" w:cs="Arial"/>
          <w:i w:val="0"/>
          <w:iCs w:val="0"/>
          <w:sz w:val="22"/>
          <w:szCs w:val="22"/>
        </w:rPr>
        <w:t>an allocation o</w:t>
      </w:r>
      <w:r w:rsidR="40ED733C" w:rsidRPr="3876365B">
        <w:rPr>
          <w:rStyle w:val="Emphasis"/>
          <w:rFonts w:ascii="Arial" w:hAnsi="Arial" w:cs="Arial"/>
          <w:i w:val="0"/>
          <w:iCs w:val="0"/>
          <w:sz w:val="22"/>
          <w:szCs w:val="22"/>
        </w:rPr>
        <w:t>r</w:t>
      </w:r>
      <w:r w:rsidRPr="3876365B">
        <w:rPr>
          <w:rStyle w:val="Emphasis"/>
          <w:rFonts w:ascii="Arial" w:hAnsi="Arial" w:cs="Arial"/>
          <w:i w:val="0"/>
          <w:iCs w:val="0"/>
          <w:sz w:val="22"/>
          <w:szCs w:val="22"/>
        </w:rPr>
        <w:t xml:space="preserve"> award </w:t>
      </w:r>
      <w:r w:rsidR="099E4BAD" w:rsidRPr="3876365B">
        <w:rPr>
          <w:rStyle w:val="Emphasis"/>
          <w:rFonts w:ascii="Arial" w:hAnsi="Arial" w:cs="Arial"/>
          <w:i w:val="0"/>
          <w:iCs w:val="0"/>
          <w:sz w:val="22"/>
          <w:szCs w:val="22"/>
        </w:rPr>
        <w:t xml:space="preserve">on or </w:t>
      </w:r>
      <w:r w:rsidRPr="3876365B">
        <w:rPr>
          <w:rStyle w:val="Emphasis"/>
          <w:rFonts w:ascii="Arial" w:hAnsi="Arial" w:cs="Arial"/>
          <w:i w:val="0"/>
          <w:iCs w:val="0"/>
          <w:sz w:val="22"/>
          <w:szCs w:val="22"/>
        </w:rPr>
        <w:t>after January 1, 2025</w:t>
      </w:r>
      <w:r w:rsidR="4DE7C799" w:rsidRPr="3876365B">
        <w:rPr>
          <w:rStyle w:val="Emphasis"/>
          <w:rFonts w:ascii="Arial" w:hAnsi="Arial" w:cs="Arial"/>
          <w:i w:val="0"/>
          <w:iCs w:val="0"/>
          <w:sz w:val="22"/>
          <w:szCs w:val="22"/>
        </w:rPr>
        <w:t xml:space="preserve"> must comply with State </w:t>
      </w:r>
      <w:r w:rsidR="1210E5D7" w:rsidRPr="3876365B">
        <w:rPr>
          <w:rStyle w:val="Emphasis"/>
          <w:rFonts w:ascii="Arial" w:hAnsi="Arial" w:cs="Arial"/>
          <w:i w:val="0"/>
          <w:iCs w:val="0"/>
          <w:sz w:val="22"/>
          <w:szCs w:val="22"/>
        </w:rPr>
        <w:t>p</w:t>
      </w:r>
      <w:r w:rsidR="4DE7C799" w:rsidRPr="3876365B">
        <w:rPr>
          <w:rStyle w:val="Emphasis"/>
          <w:rFonts w:ascii="Arial" w:hAnsi="Arial" w:cs="Arial"/>
          <w:i w:val="0"/>
          <w:iCs w:val="0"/>
          <w:sz w:val="22"/>
          <w:szCs w:val="22"/>
        </w:rPr>
        <w:t xml:space="preserve">revailing </w:t>
      </w:r>
      <w:r w:rsidR="0EDEABAC" w:rsidRPr="3876365B">
        <w:rPr>
          <w:rStyle w:val="Emphasis"/>
          <w:rFonts w:ascii="Arial" w:hAnsi="Arial" w:cs="Arial"/>
          <w:i w:val="0"/>
          <w:iCs w:val="0"/>
          <w:sz w:val="22"/>
          <w:szCs w:val="22"/>
        </w:rPr>
        <w:t>w</w:t>
      </w:r>
      <w:r w:rsidR="4DE7C799" w:rsidRPr="3876365B">
        <w:rPr>
          <w:rStyle w:val="Emphasis"/>
          <w:rFonts w:ascii="Arial" w:hAnsi="Arial" w:cs="Arial"/>
          <w:i w:val="0"/>
          <w:iCs w:val="0"/>
          <w:sz w:val="22"/>
          <w:szCs w:val="22"/>
        </w:rPr>
        <w:t>age</w:t>
      </w:r>
      <w:r w:rsidR="5C8AF3B3" w:rsidRPr="3876365B">
        <w:rPr>
          <w:rStyle w:val="Emphasis"/>
          <w:rFonts w:ascii="Arial" w:hAnsi="Arial" w:cs="Arial"/>
          <w:i w:val="0"/>
          <w:iCs w:val="0"/>
          <w:sz w:val="22"/>
          <w:szCs w:val="22"/>
        </w:rPr>
        <w:t xml:space="preserve"> </w:t>
      </w:r>
      <w:r w:rsidR="6626458E" w:rsidRPr="3876365B">
        <w:rPr>
          <w:rStyle w:val="Emphasis"/>
          <w:rFonts w:ascii="Arial" w:hAnsi="Arial" w:cs="Arial"/>
          <w:i w:val="0"/>
          <w:iCs w:val="0"/>
          <w:sz w:val="22"/>
          <w:szCs w:val="22"/>
        </w:rPr>
        <w:t xml:space="preserve">law </w:t>
      </w:r>
      <w:r w:rsidR="5C8AF3B3" w:rsidRPr="3876365B">
        <w:rPr>
          <w:rStyle w:val="Emphasis"/>
          <w:rFonts w:ascii="Arial" w:hAnsi="Arial" w:cs="Arial"/>
          <w:i w:val="0"/>
          <w:iCs w:val="0"/>
          <w:sz w:val="22"/>
          <w:szCs w:val="22"/>
        </w:rPr>
        <w:t xml:space="preserve">and must use the higher </w:t>
      </w:r>
      <w:proofErr w:type="gramStart"/>
      <w:r w:rsidR="5C8AF3B3" w:rsidRPr="3876365B">
        <w:rPr>
          <w:rStyle w:val="Emphasis"/>
          <w:rFonts w:ascii="Arial" w:hAnsi="Arial" w:cs="Arial"/>
          <w:i w:val="0"/>
          <w:iCs w:val="0"/>
          <w:sz w:val="22"/>
          <w:szCs w:val="22"/>
        </w:rPr>
        <w:t xml:space="preserve">of </w:t>
      </w:r>
      <w:r w:rsidR="13875B53" w:rsidRPr="3876365B">
        <w:rPr>
          <w:rStyle w:val="Emphasis"/>
          <w:rFonts w:ascii="Arial" w:hAnsi="Arial" w:cs="Arial"/>
          <w:i w:val="0"/>
          <w:iCs w:val="0"/>
          <w:sz w:val="22"/>
          <w:szCs w:val="22"/>
        </w:rPr>
        <w:t xml:space="preserve"> </w:t>
      </w:r>
      <w:r w:rsidR="5C8AF3B3" w:rsidRPr="3876365B">
        <w:rPr>
          <w:rStyle w:val="Emphasis"/>
          <w:rFonts w:ascii="Arial" w:hAnsi="Arial" w:cs="Arial"/>
          <w:i w:val="0"/>
          <w:iCs w:val="0"/>
          <w:sz w:val="22"/>
          <w:szCs w:val="22"/>
        </w:rPr>
        <w:t>state</w:t>
      </w:r>
      <w:proofErr w:type="gramEnd"/>
      <w:r w:rsidR="5C8AF3B3" w:rsidRPr="3876365B">
        <w:rPr>
          <w:rStyle w:val="Emphasis"/>
          <w:rFonts w:ascii="Arial" w:hAnsi="Arial" w:cs="Arial"/>
          <w:i w:val="0"/>
          <w:iCs w:val="0"/>
          <w:sz w:val="22"/>
          <w:szCs w:val="22"/>
        </w:rPr>
        <w:t xml:space="preserve"> prevailing wages per Minnesota Statute 116J.871</w:t>
      </w:r>
      <w:r w:rsidR="05A2E1FF" w:rsidRPr="3876365B">
        <w:rPr>
          <w:rStyle w:val="Emphasis"/>
          <w:rFonts w:ascii="Arial" w:hAnsi="Arial" w:cs="Arial"/>
          <w:i w:val="0"/>
          <w:iCs w:val="0"/>
          <w:sz w:val="22"/>
          <w:szCs w:val="22"/>
        </w:rPr>
        <w:t xml:space="preserve"> and any other applicable federal or local wage that applies to any other </w:t>
      </w:r>
      <w:r w:rsidR="33C2DC90" w:rsidRPr="3876365B">
        <w:rPr>
          <w:rStyle w:val="Emphasis"/>
          <w:rFonts w:ascii="Arial" w:hAnsi="Arial" w:cs="Arial"/>
          <w:i w:val="0"/>
          <w:iCs w:val="0"/>
          <w:sz w:val="22"/>
          <w:szCs w:val="22"/>
        </w:rPr>
        <w:t>funding</w:t>
      </w:r>
      <w:r w:rsidR="05A2E1FF" w:rsidRPr="3876365B">
        <w:rPr>
          <w:rStyle w:val="Emphasis"/>
          <w:rFonts w:ascii="Arial" w:hAnsi="Arial" w:cs="Arial"/>
          <w:i w:val="0"/>
          <w:iCs w:val="0"/>
          <w:sz w:val="22"/>
          <w:szCs w:val="22"/>
        </w:rPr>
        <w:t xml:space="preserve"> source for the project. </w:t>
      </w:r>
    </w:p>
    <w:p w14:paraId="4B9808AE" w14:textId="77777777" w:rsidR="0007573A" w:rsidRDefault="0007573A" w:rsidP="271BA13E">
      <w:pPr>
        <w:jc w:val="both"/>
        <w:rPr>
          <w:rFonts w:ascii="Arial" w:hAnsi="Arial"/>
          <w:sz w:val="22"/>
          <w:szCs w:val="22"/>
        </w:rPr>
      </w:pPr>
    </w:p>
    <w:p w14:paraId="2291DA5F" w14:textId="500778E8" w:rsidR="006451E9" w:rsidRDefault="4D3395E8" w:rsidP="18356903">
      <w:pPr>
        <w:ind w:firstLine="720"/>
        <w:jc w:val="both"/>
        <w:rPr>
          <w:rFonts w:ascii="Arial" w:hAnsi="Arial"/>
          <w:b/>
          <w:bCs/>
          <w:sz w:val="22"/>
          <w:szCs w:val="22"/>
        </w:rPr>
      </w:pPr>
      <w:r w:rsidRPr="271BA13E">
        <w:rPr>
          <w:rFonts w:ascii="Arial" w:hAnsi="Arial"/>
          <w:sz w:val="22"/>
          <w:szCs w:val="22"/>
        </w:rPr>
        <w:t>J</w:t>
      </w:r>
      <w:r w:rsidR="14075B11" w:rsidRPr="271BA13E">
        <w:rPr>
          <w:rFonts w:ascii="Arial" w:hAnsi="Arial"/>
          <w:sz w:val="22"/>
          <w:szCs w:val="22"/>
        </w:rPr>
        <w:t>.</w:t>
      </w:r>
      <w:r w:rsidR="00D50A11">
        <w:tab/>
      </w:r>
      <w:r w:rsidR="22EBE7E9" w:rsidRPr="271BA13E">
        <w:rPr>
          <w:rFonts w:ascii="Arial" w:hAnsi="Arial" w:cs="Arial"/>
          <w:sz w:val="22"/>
          <w:szCs w:val="22"/>
        </w:rPr>
        <w:t xml:space="preserve">After reviewing the 9% HTC applications and recommendations of their respective staffs, the HRA Board of Commissioners/Minneapolis Council reserves the right not to award any HTCs.  The HRA Board of Commissioners/Minneapolis Council further reserves the right not to give partial HTCs to a </w:t>
      </w:r>
      <w:proofErr w:type="gramStart"/>
      <w:r w:rsidR="22EBE7E9" w:rsidRPr="271BA13E">
        <w:rPr>
          <w:rFonts w:ascii="Arial" w:hAnsi="Arial" w:cs="Arial"/>
          <w:sz w:val="22"/>
          <w:szCs w:val="22"/>
        </w:rPr>
        <w:t>higher ranking</w:t>
      </w:r>
      <w:proofErr w:type="gramEnd"/>
      <w:r w:rsidR="22EBE7E9" w:rsidRPr="271BA13E">
        <w:rPr>
          <w:rFonts w:ascii="Arial" w:hAnsi="Arial" w:cs="Arial"/>
          <w:sz w:val="22"/>
          <w:szCs w:val="22"/>
        </w:rPr>
        <w:t xml:space="preserve"> application but to give the HTC to the next ranking Application that can use the balance of the HTC.  The HRA Board</w:t>
      </w:r>
      <w:r w:rsidR="7C62C57C" w:rsidRPr="271BA13E">
        <w:rPr>
          <w:rFonts w:ascii="Arial" w:hAnsi="Arial" w:cs="Arial"/>
          <w:sz w:val="22"/>
          <w:szCs w:val="22"/>
        </w:rPr>
        <w:t>/Minneapolis Council</w:t>
      </w:r>
      <w:r w:rsidR="22EBE7E9" w:rsidRPr="271BA13E">
        <w:rPr>
          <w:rFonts w:ascii="Arial" w:hAnsi="Arial" w:cs="Arial"/>
          <w:sz w:val="22"/>
          <w:szCs w:val="22"/>
        </w:rPr>
        <w:t xml:space="preserve"> reserves the right to award HTCs to a project that received a prior </w:t>
      </w:r>
      <w:r w:rsidR="558B1FFE" w:rsidRPr="271BA13E">
        <w:rPr>
          <w:rFonts w:ascii="Arial" w:hAnsi="Arial" w:cs="Arial"/>
          <w:sz w:val="22"/>
          <w:szCs w:val="22"/>
        </w:rPr>
        <w:t xml:space="preserve">HTC </w:t>
      </w:r>
      <w:r w:rsidR="22EBE7E9" w:rsidRPr="271BA13E">
        <w:rPr>
          <w:rFonts w:ascii="Arial" w:hAnsi="Arial" w:cs="Arial"/>
          <w:sz w:val="22"/>
          <w:szCs w:val="22"/>
        </w:rPr>
        <w:t>allocation from the HRA Board</w:t>
      </w:r>
      <w:r w:rsidR="6269A68F" w:rsidRPr="271BA13E">
        <w:rPr>
          <w:rFonts w:ascii="Arial" w:hAnsi="Arial" w:cs="Arial"/>
          <w:sz w:val="22"/>
          <w:szCs w:val="22"/>
        </w:rPr>
        <w:t>/Minneapolis Council</w:t>
      </w:r>
      <w:r w:rsidR="22EBE7E9" w:rsidRPr="271BA13E">
        <w:rPr>
          <w:rFonts w:ascii="Arial" w:hAnsi="Arial" w:cs="Arial"/>
          <w:sz w:val="22"/>
          <w:szCs w:val="22"/>
        </w:rPr>
        <w:t xml:space="preserve"> </w:t>
      </w:r>
      <w:r w:rsidR="35889C1D" w:rsidRPr="271BA13E">
        <w:rPr>
          <w:rFonts w:ascii="Arial" w:hAnsi="Arial" w:cs="Arial"/>
          <w:sz w:val="22"/>
          <w:szCs w:val="22"/>
        </w:rPr>
        <w:t xml:space="preserve">or Minnesota Housing </w:t>
      </w:r>
      <w:r w:rsidR="22EBE7E9" w:rsidRPr="271BA13E">
        <w:rPr>
          <w:rFonts w:ascii="Arial" w:hAnsi="Arial" w:cs="Arial"/>
          <w:sz w:val="22"/>
          <w:szCs w:val="22"/>
        </w:rPr>
        <w:t>regardless of its current year ranking pursuant to Attachment 1</w:t>
      </w:r>
      <w:r w:rsidR="240586E7" w:rsidRPr="271BA13E">
        <w:rPr>
          <w:rFonts w:ascii="Arial" w:hAnsi="Arial" w:cs="Arial"/>
          <w:sz w:val="22"/>
          <w:szCs w:val="22"/>
        </w:rPr>
        <w:t xml:space="preserve"> and </w:t>
      </w:r>
      <w:r w:rsidR="42F50F49" w:rsidRPr="271BA13E">
        <w:rPr>
          <w:rFonts w:ascii="Arial" w:hAnsi="Arial" w:cs="Arial"/>
          <w:sz w:val="22"/>
          <w:szCs w:val="22"/>
        </w:rPr>
        <w:t>2</w:t>
      </w:r>
      <w:r w:rsidR="22EBE7E9" w:rsidRPr="271BA13E">
        <w:rPr>
          <w:rFonts w:ascii="Arial" w:hAnsi="Arial" w:cs="Arial"/>
          <w:sz w:val="22"/>
          <w:szCs w:val="22"/>
        </w:rPr>
        <w:t>.  The HRA Board of Commissioners/Minneapolis Council further reserves the right to terminate any further award of HTCs after a portion</w:t>
      </w:r>
      <w:r w:rsidR="558B1FFE" w:rsidRPr="271BA13E">
        <w:rPr>
          <w:rFonts w:ascii="Arial" w:hAnsi="Arial" w:cs="Arial"/>
          <w:sz w:val="22"/>
          <w:szCs w:val="22"/>
        </w:rPr>
        <w:t xml:space="preserve"> of the total HTCs available have</w:t>
      </w:r>
      <w:r w:rsidR="22EBE7E9" w:rsidRPr="271BA13E">
        <w:rPr>
          <w:rFonts w:ascii="Arial" w:hAnsi="Arial" w:cs="Arial"/>
          <w:sz w:val="22"/>
          <w:szCs w:val="22"/>
        </w:rPr>
        <w:t xml:space="preserve"> been awarded.</w:t>
      </w:r>
    </w:p>
    <w:p w14:paraId="50733C36" w14:textId="77777777" w:rsidR="005B0BB4" w:rsidRPr="00C3168C" w:rsidRDefault="005B0BB4" w:rsidP="00F41E09">
      <w:pPr>
        <w:ind w:firstLine="720"/>
        <w:jc w:val="both"/>
        <w:rPr>
          <w:rFonts w:ascii="Arial" w:hAnsi="Arial"/>
          <w:b/>
          <w:sz w:val="22"/>
        </w:rPr>
      </w:pPr>
    </w:p>
    <w:p w14:paraId="6FD9CB51" w14:textId="49B64EC5" w:rsidR="00043EEF" w:rsidRDefault="17F09CCC" w:rsidP="18356903">
      <w:pPr>
        <w:ind w:firstLine="720"/>
        <w:jc w:val="both"/>
        <w:rPr>
          <w:rFonts w:ascii="Arial" w:hAnsi="Arial"/>
          <w:b/>
          <w:bCs/>
          <w:sz w:val="22"/>
          <w:szCs w:val="22"/>
        </w:rPr>
      </w:pPr>
      <w:r w:rsidRPr="18356903">
        <w:rPr>
          <w:rFonts w:ascii="Arial" w:hAnsi="Arial"/>
          <w:sz w:val="22"/>
          <w:szCs w:val="22"/>
        </w:rPr>
        <w:t>K</w:t>
      </w:r>
      <w:r w:rsidR="006451E9" w:rsidRPr="18356903">
        <w:rPr>
          <w:rFonts w:ascii="Arial" w:hAnsi="Arial"/>
          <w:b/>
          <w:bCs/>
          <w:sz w:val="22"/>
          <w:szCs w:val="22"/>
        </w:rPr>
        <w:t>.</w:t>
      </w:r>
      <w:r w:rsidR="00D50A11">
        <w:tab/>
      </w:r>
      <w:r w:rsidR="00867B03" w:rsidRPr="18356903">
        <w:rPr>
          <w:rFonts w:ascii="Arial" w:hAnsi="Arial"/>
          <w:sz w:val="22"/>
          <w:szCs w:val="22"/>
        </w:rPr>
        <w:t>HRA Board/Minneapolis Counci</w:t>
      </w:r>
      <w:r w:rsidR="00D50A11" w:rsidRPr="18356903">
        <w:rPr>
          <w:rFonts w:ascii="Arial" w:hAnsi="Arial"/>
          <w:sz w:val="22"/>
          <w:szCs w:val="22"/>
        </w:rPr>
        <w:t xml:space="preserve">l </w:t>
      </w:r>
      <w:r w:rsidR="005B0BB4" w:rsidRPr="18356903">
        <w:rPr>
          <w:rFonts w:ascii="Arial" w:hAnsi="Arial"/>
          <w:sz w:val="22"/>
          <w:szCs w:val="22"/>
        </w:rPr>
        <w:t>reserves the right in</w:t>
      </w:r>
      <w:r w:rsidR="006451E9" w:rsidRPr="18356903">
        <w:rPr>
          <w:rFonts w:ascii="Arial" w:hAnsi="Arial"/>
          <w:sz w:val="22"/>
          <w:szCs w:val="22"/>
        </w:rPr>
        <w:t xml:space="preserve"> </w:t>
      </w:r>
      <w:r w:rsidR="00D50A11" w:rsidRPr="18356903">
        <w:rPr>
          <w:rFonts w:ascii="Arial" w:hAnsi="Arial"/>
          <w:sz w:val="22"/>
          <w:szCs w:val="22"/>
        </w:rPr>
        <w:t>their sole</w:t>
      </w:r>
      <w:r w:rsidR="006451E9" w:rsidRPr="18356903">
        <w:rPr>
          <w:rFonts w:ascii="Arial" w:hAnsi="Arial"/>
          <w:sz w:val="22"/>
          <w:szCs w:val="22"/>
        </w:rPr>
        <w:t xml:space="preserve"> discretion not to award </w:t>
      </w:r>
      <w:r w:rsidR="00D50A11" w:rsidRPr="18356903">
        <w:rPr>
          <w:rFonts w:ascii="Arial" w:hAnsi="Arial"/>
          <w:sz w:val="22"/>
          <w:szCs w:val="22"/>
        </w:rPr>
        <w:t>HTC</w:t>
      </w:r>
      <w:r w:rsidR="006451E9" w:rsidRPr="18356903">
        <w:rPr>
          <w:rFonts w:ascii="Arial" w:hAnsi="Arial"/>
          <w:sz w:val="22"/>
          <w:szCs w:val="22"/>
        </w:rPr>
        <w:t xml:space="preserve">s to an applicant </w:t>
      </w:r>
      <w:r w:rsidR="00B91EAF" w:rsidRPr="18356903">
        <w:rPr>
          <w:rFonts w:ascii="Arial" w:hAnsi="Arial"/>
          <w:sz w:val="22"/>
          <w:szCs w:val="22"/>
        </w:rPr>
        <w:t xml:space="preserve">(including </w:t>
      </w:r>
      <w:r w:rsidR="006451E9" w:rsidRPr="18356903">
        <w:rPr>
          <w:rFonts w:ascii="Arial" w:hAnsi="Arial"/>
          <w:sz w:val="22"/>
          <w:szCs w:val="22"/>
        </w:rPr>
        <w:t>with significant parties who have serious and persistent compliance monitoring violations</w:t>
      </w:r>
      <w:r w:rsidR="00550BEA" w:rsidRPr="18356903">
        <w:rPr>
          <w:rFonts w:ascii="Arial" w:hAnsi="Arial"/>
          <w:sz w:val="22"/>
          <w:szCs w:val="22"/>
        </w:rPr>
        <w:t>)</w:t>
      </w:r>
      <w:r w:rsidR="000D1629" w:rsidRPr="18356903">
        <w:rPr>
          <w:rFonts w:ascii="Arial" w:hAnsi="Arial"/>
          <w:sz w:val="22"/>
          <w:szCs w:val="22"/>
        </w:rPr>
        <w:t xml:space="preserve">; or </w:t>
      </w:r>
      <w:r w:rsidR="00A66446" w:rsidRPr="18356903">
        <w:rPr>
          <w:rFonts w:ascii="Arial" w:hAnsi="Arial"/>
          <w:sz w:val="22"/>
          <w:szCs w:val="22"/>
        </w:rPr>
        <w:t xml:space="preserve">to </w:t>
      </w:r>
      <w:r w:rsidR="000D1629" w:rsidRPr="18356903">
        <w:rPr>
          <w:rFonts w:ascii="Arial" w:hAnsi="Arial"/>
          <w:sz w:val="22"/>
          <w:szCs w:val="22"/>
        </w:rPr>
        <w:t>an applicant with significant parties who have an adverse lending position due to any delinquencies, foreclosures, or nonperformance of contractual obligations</w:t>
      </w:r>
      <w:r w:rsidR="00D50A11" w:rsidRPr="18356903">
        <w:rPr>
          <w:rFonts w:ascii="Arial" w:hAnsi="Arial"/>
          <w:sz w:val="22"/>
          <w:szCs w:val="22"/>
        </w:rPr>
        <w:t>.</w:t>
      </w:r>
    </w:p>
    <w:p w14:paraId="1159CB41" w14:textId="77777777" w:rsidR="00D50A11" w:rsidRDefault="00D50A11" w:rsidP="00F41E09">
      <w:pPr>
        <w:ind w:firstLine="720"/>
        <w:jc w:val="both"/>
        <w:rPr>
          <w:rFonts w:ascii="Arial" w:hAnsi="Arial"/>
          <w:sz w:val="22"/>
        </w:rPr>
      </w:pPr>
    </w:p>
    <w:p w14:paraId="3CD73496" w14:textId="71F8CA62" w:rsidR="002323C4" w:rsidRDefault="00043EEF" w:rsidP="18356903">
      <w:pPr>
        <w:jc w:val="both"/>
        <w:rPr>
          <w:rFonts w:ascii="Arial" w:hAnsi="Arial"/>
          <w:sz w:val="22"/>
          <w:szCs w:val="22"/>
        </w:rPr>
      </w:pPr>
      <w:r>
        <w:rPr>
          <w:rFonts w:ascii="Arial" w:hAnsi="Arial"/>
          <w:sz w:val="22"/>
        </w:rPr>
        <w:tab/>
      </w:r>
      <w:r w:rsidR="5650E8BD" w:rsidRPr="18356903">
        <w:rPr>
          <w:rFonts w:ascii="Arial" w:hAnsi="Arial"/>
          <w:sz w:val="22"/>
          <w:szCs w:val="22"/>
        </w:rPr>
        <w:t>L</w:t>
      </w:r>
      <w:r w:rsidRPr="18356903">
        <w:rPr>
          <w:rFonts w:ascii="Arial" w:hAnsi="Arial"/>
          <w:sz w:val="22"/>
          <w:szCs w:val="22"/>
        </w:rPr>
        <w:t>.</w:t>
      </w:r>
      <w:r w:rsidRPr="002A3ECC">
        <w:rPr>
          <w:rFonts w:ascii="Arial" w:hAnsi="Arial"/>
          <w:sz w:val="22"/>
        </w:rPr>
        <w:tab/>
      </w:r>
      <w:r w:rsidR="002323C4" w:rsidRPr="18356903">
        <w:rPr>
          <w:rFonts w:ascii="Arial" w:hAnsi="Arial"/>
          <w:sz w:val="22"/>
          <w:szCs w:val="22"/>
        </w:rPr>
        <w:t xml:space="preserve">For each of the Cities, </w:t>
      </w:r>
      <w:r w:rsidR="00B91EAF" w:rsidRPr="18356903">
        <w:rPr>
          <w:rFonts w:ascii="Arial" w:hAnsi="Arial"/>
          <w:sz w:val="22"/>
          <w:szCs w:val="22"/>
        </w:rPr>
        <w:t xml:space="preserve">Applications for </w:t>
      </w:r>
      <w:r w:rsidR="00245B69" w:rsidRPr="18356903">
        <w:rPr>
          <w:rFonts w:ascii="Arial" w:hAnsi="Arial"/>
          <w:sz w:val="22"/>
          <w:szCs w:val="22"/>
        </w:rPr>
        <w:t xml:space="preserve">9% </w:t>
      </w:r>
      <w:r w:rsidR="00C3168C" w:rsidRPr="18356903">
        <w:rPr>
          <w:rFonts w:ascii="Arial" w:hAnsi="Arial"/>
          <w:sz w:val="22"/>
          <w:szCs w:val="22"/>
        </w:rPr>
        <w:t>HTC</w:t>
      </w:r>
      <w:r w:rsidR="00B91EAF" w:rsidRPr="18356903">
        <w:rPr>
          <w:rFonts w:ascii="Arial" w:hAnsi="Arial"/>
          <w:sz w:val="22"/>
          <w:szCs w:val="22"/>
        </w:rPr>
        <w:t>s</w:t>
      </w:r>
      <w:r w:rsidR="00C15282" w:rsidRPr="18356903">
        <w:rPr>
          <w:rFonts w:ascii="Arial" w:hAnsi="Arial"/>
          <w:sz w:val="22"/>
          <w:szCs w:val="22"/>
        </w:rPr>
        <w:t xml:space="preserve"> </w:t>
      </w:r>
      <w:r w:rsidRPr="18356903">
        <w:rPr>
          <w:rFonts w:ascii="Arial" w:hAnsi="Arial"/>
          <w:sz w:val="22"/>
          <w:szCs w:val="22"/>
        </w:rPr>
        <w:t xml:space="preserve">will be </w:t>
      </w:r>
      <w:r w:rsidR="002323C4" w:rsidRPr="18356903">
        <w:rPr>
          <w:rFonts w:ascii="Arial" w:hAnsi="Arial"/>
          <w:sz w:val="22"/>
          <w:szCs w:val="22"/>
        </w:rPr>
        <w:t xml:space="preserve">ranked from highest to lowest scores based on the </w:t>
      </w:r>
      <w:r w:rsidRPr="18356903">
        <w:rPr>
          <w:rFonts w:ascii="Arial" w:hAnsi="Arial"/>
          <w:sz w:val="22"/>
          <w:szCs w:val="22"/>
        </w:rPr>
        <w:t xml:space="preserve">points </w:t>
      </w:r>
      <w:r w:rsidR="002323C4" w:rsidRPr="18356903">
        <w:rPr>
          <w:rFonts w:ascii="Arial" w:hAnsi="Arial"/>
          <w:sz w:val="22"/>
          <w:szCs w:val="22"/>
        </w:rPr>
        <w:t>received as set forth in Attachment 1</w:t>
      </w:r>
      <w:r w:rsidR="00C37583" w:rsidRPr="18356903">
        <w:rPr>
          <w:rFonts w:ascii="Arial" w:hAnsi="Arial"/>
          <w:sz w:val="22"/>
          <w:szCs w:val="22"/>
        </w:rPr>
        <w:t xml:space="preserve"> or</w:t>
      </w:r>
      <w:r w:rsidR="002323C4" w:rsidRPr="18356903">
        <w:rPr>
          <w:rFonts w:ascii="Arial" w:hAnsi="Arial"/>
          <w:sz w:val="22"/>
          <w:szCs w:val="22"/>
        </w:rPr>
        <w:t xml:space="preserve"> Attachme</w:t>
      </w:r>
      <w:r w:rsidR="00E9446C" w:rsidRPr="18356903">
        <w:rPr>
          <w:rFonts w:ascii="Arial" w:hAnsi="Arial"/>
          <w:sz w:val="22"/>
          <w:szCs w:val="22"/>
        </w:rPr>
        <w:t>n</w:t>
      </w:r>
      <w:r w:rsidR="002323C4" w:rsidRPr="18356903">
        <w:rPr>
          <w:rFonts w:ascii="Arial" w:hAnsi="Arial"/>
          <w:sz w:val="22"/>
          <w:szCs w:val="22"/>
        </w:rPr>
        <w:t>t 2</w:t>
      </w:r>
      <w:r w:rsidR="00C37583" w:rsidRPr="18356903">
        <w:rPr>
          <w:rFonts w:ascii="Arial" w:hAnsi="Arial"/>
          <w:sz w:val="22"/>
          <w:szCs w:val="22"/>
        </w:rPr>
        <w:t>, as applicable</w:t>
      </w:r>
      <w:r w:rsidR="002323C4" w:rsidRPr="18356903">
        <w:rPr>
          <w:rFonts w:ascii="Arial" w:hAnsi="Arial"/>
          <w:sz w:val="22"/>
          <w:szCs w:val="22"/>
        </w:rPr>
        <w:t xml:space="preserve">.  </w:t>
      </w:r>
    </w:p>
    <w:p w14:paraId="27092C45" w14:textId="77777777" w:rsidR="002323C4" w:rsidRDefault="002323C4" w:rsidP="00F41E09">
      <w:pPr>
        <w:jc w:val="both"/>
        <w:rPr>
          <w:rFonts w:ascii="Arial" w:hAnsi="Arial"/>
          <w:sz w:val="22"/>
        </w:rPr>
      </w:pPr>
    </w:p>
    <w:p w14:paraId="25F41B60" w14:textId="77777777" w:rsidR="00955EB6" w:rsidRDefault="00A536EF" w:rsidP="2C14DF09">
      <w:pPr>
        <w:ind w:left="720"/>
        <w:jc w:val="both"/>
        <w:rPr>
          <w:rFonts w:ascii="Arial" w:hAnsi="Arial"/>
          <w:sz w:val="22"/>
          <w:szCs w:val="22"/>
        </w:rPr>
      </w:pPr>
      <w:r w:rsidRPr="18356903">
        <w:rPr>
          <w:rFonts w:ascii="Arial" w:hAnsi="Arial"/>
          <w:sz w:val="22"/>
          <w:szCs w:val="22"/>
          <w:u w:val="single"/>
        </w:rPr>
        <w:t xml:space="preserve">For </w:t>
      </w:r>
      <w:r w:rsidR="00C3168C" w:rsidRPr="18356903">
        <w:rPr>
          <w:rFonts w:ascii="Arial" w:hAnsi="Arial"/>
          <w:sz w:val="22"/>
          <w:szCs w:val="22"/>
          <w:u w:val="single"/>
        </w:rPr>
        <w:t xml:space="preserve">projects located in </w:t>
      </w:r>
      <w:r w:rsidRPr="18356903">
        <w:rPr>
          <w:rFonts w:ascii="Arial" w:hAnsi="Arial"/>
          <w:sz w:val="22"/>
          <w:szCs w:val="22"/>
          <w:u w:val="single"/>
        </w:rPr>
        <w:t>Minneapolis</w:t>
      </w:r>
      <w:r w:rsidRPr="18356903">
        <w:rPr>
          <w:rFonts w:ascii="Arial" w:hAnsi="Arial"/>
          <w:sz w:val="22"/>
          <w:szCs w:val="22"/>
        </w:rPr>
        <w:t xml:space="preserve">: </w:t>
      </w:r>
      <w:r w:rsidR="00043EEF" w:rsidRPr="18356903">
        <w:rPr>
          <w:rFonts w:ascii="Arial" w:hAnsi="Arial"/>
          <w:sz w:val="22"/>
          <w:szCs w:val="22"/>
        </w:rPr>
        <w:t xml:space="preserve">In the event two or more </w:t>
      </w:r>
      <w:r w:rsidR="002323C4" w:rsidRPr="18356903">
        <w:rPr>
          <w:rFonts w:ascii="Arial" w:hAnsi="Arial"/>
          <w:sz w:val="22"/>
          <w:szCs w:val="22"/>
        </w:rPr>
        <w:t>Applications receive o</w:t>
      </w:r>
      <w:r w:rsidR="00043EEF" w:rsidRPr="18356903">
        <w:rPr>
          <w:rFonts w:ascii="Arial" w:hAnsi="Arial"/>
          <w:sz w:val="22"/>
          <w:szCs w:val="22"/>
        </w:rPr>
        <w:t xml:space="preserve">verall point totals which are within </w:t>
      </w:r>
      <w:r w:rsidR="007A60CD" w:rsidRPr="18356903">
        <w:rPr>
          <w:rFonts w:ascii="Arial" w:hAnsi="Arial"/>
          <w:sz w:val="22"/>
          <w:szCs w:val="22"/>
        </w:rPr>
        <w:t xml:space="preserve">10 points </w:t>
      </w:r>
      <w:r w:rsidR="002323C4" w:rsidRPr="18356903">
        <w:rPr>
          <w:rFonts w:ascii="Arial" w:hAnsi="Arial"/>
          <w:sz w:val="22"/>
          <w:szCs w:val="22"/>
        </w:rPr>
        <w:t xml:space="preserve">of one another, the Application which </w:t>
      </w:r>
      <w:r w:rsidRPr="18356903">
        <w:rPr>
          <w:rFonts w:ascii="Arial" w:hAnsi="Arial"/>
          <w:sz w:val="22"/>
          <w:szCs w:val="22"/>
        </w:rPr>
        <w:t xml:space="preserve">scores at least 10 points higher than the other </w:t>
      </w:r>
      <w:r w:rsidR="002323C4" w:rsidRPr="18356903">
        <w:rPr>
          <w:rFonts w:ascii="Arial" w:hAnsi="Arial"/>
          <w:sz w:val="22"/>
          <w:szCs w:val="22"/>
        </w:rPr>
        <w:t xml:space="preserve">based </w:t>
      </w:r>
      <w:r w:rsidRPr="18356903">
        <w:rPr>
          <w:rFonts w:ascii="Arial" w:hAnsi="Arial"/>
          <w:sz w:val="22"/>
          <w:szCs w:val="22"/>
        </w:rPr>
        <w:t xml:space="preserve">exclusively on the </w:t>
      </w:r>
      <w:r w:rsidR="002323C4" w:rsidRPr="18356903">
        <w:rPr>
          <w:rFonts w:ascii="Arial" w:hAnsi="Arial"/>
          <w:sz w:val="22"/>
          <w:szCs w:val="22"/>
        </w:rPr>
        <w:t xml:space="preserve">“Minneapolis </w:t>
      </w:r>
      <w:r w:rsidRPr="18356903">
        <w:rPr>
          <w:rFonts w:ascii="Arial" w:hAnsi="Arial"/>
          <w:sz w:val="22"/>
          <w:szCs w:val="22"/>
        </w:rPr>
        <w:t>Preference Priorities</w:t>
      </w:r>
      <w:r w:rsidR="002323C4" w:rsidRPr="18356903">
        <w:rPr>
          <w:rFonts w:ascii="Arial" w:hAnsi="Arial"/>
          <w:sz w:val="22"/>
          <w:szCs w:val="22"/>
        </w:rPr>
        <w:t>”</w:t>
      </w:r>
      <w:r w:rsidRPr="18356903">
        <w:rPr>
          <w:rFonts w:ascii="Arial" w:hAnsi="Arial"/>
          <w:sz w:val="22"/>
          <w:szCs w:val="22"/>
        </w:rPr>
        <w:t xml:space="preserve"> set forth in </w:t>
      </w:r>
      <w:r w:rsidR="002323C4" w:rsidRPr="18356903">
        <w:rPr>
          <w:rFonts w:ascii="Arial" w:hAnsi="Arial"/>
          <w:sz w:val="22"/>
          <w:szCs w:val="22"/>
        </w:rPr>
        <w:t>A</w:t>
      </w:r>
      <w:r w:rsidR="00D50A11" w:rsidRPr="18356903">
        <w:rPr>
          <w:rFonts w:ascii="Arial" w:hAnsi="Arial"/>
          <w:sz w:val="22"/>
          <w:szCs w:val="22"/>
        </w:rPr>
        <w:t>ttachment</w:t>
      </w:r>
      <w:r w:rsidR="002323C4" w:rsidRPr="18356903">
        <w:rPr>
          <w:rFonts w:ascii="Arial" w:hAnsi="Arial"/>
          <w:sz w:val="22"/>
          <w:szCs w:val="22"/>
        </w:rPr>
        <w:t xml:space="preserve"> 1, </w:t>
      </w:r>
      <w:r w:rsidRPr="18356903">
        <w:rPr>
          <w:rFonts w:ascii="Arial" w:hAnsi="Arial"/>
          <w:sz w:val="22"/>
          <w:szCs w:val="22"/>
        </w:rPr>
        <w:t>Section B</w:t>
      </w:r>
      <w:r w:rsidRPr="18356903">
        <w:rPr>
          <w:rFonts w:ascii="Arial" w:hAnsi="Arial"/>
          <w:b/>
          <w:bCs/>
          <w:sz w:val="22"/>
          <w:szCs w:val="22"/>
        </w:rPr>
        <w:t xml:space="preserve"> </w:t>
      </w:r>
      <w:r w:rsidR="00C3168C" w:rsidRPr="18356903">
        <w:rPr>
          <w:rFonts w:ascii="Arial" w:hAnsi="Arial"/>
          <w:sz w:val="22"/>
          <w:szCs w:val="22"/>
        </w:rPr>
        <w:t>shall be ranked</w:t>
      </w:r>
      <w:r w:rsidRPr="18356903">
        <w:rPr>
          <w:rFonts w:ascii="Arial" w:hAnsi="Arial"/>
          <w:sz w:val="22"/>
          <w:szCs w:val="22"/>
        </w:rPr>
        <w:t xml:space="preserve"> higher.  In the event neither project</w:t>
      </w:r>
      <w:r w:rsidR="00955EB6" w:rsidRPr="18356903">
        <w:rPr>
          <w:rFonts w:ascii="Arial" w:hAnsi="Arial"/>
          <w:sz w:val="22"/>
          <w:szCs w:val="22"/>
        </w:rPr>
        <w:t xml:space="preserve"> receives a score which </w:t>
      </w:r>
      <w:r w:rsidRPr="18356903">
        <w:rPr>
          <w:rFonts w:ascii="Arial" w:hAnsi="Arial"/>
          <w:sz w:val="22"/>
          <w:szCs w:val="22"/>
        </w:rPr>
        <w:t xml:space="preserve">exceeds the other by 10 </w:t>
      </w:r>
      <w:r w:rsidR="00955EB6" w:rsidRPr="18356903">
        <w:rPr>
          <w:rFonts w:ascii="Arial" w:hAnsi="Arial"/>
          <w:sz w:val="22"/>
          <w:szCs w:val="22"/>
        </w:rPr>
        <w:t>or more points based upon the</w:t>
      </w:r>
      <w:r w:rsidRPr="18356903">
        <w:rPr>
          <w:rFonts w:ascii="Arial" w:hAnsi="Arial"/>
          <w:sz w:val="22"/>
          <w:szCs w:val="22"/>
        </w:rPr>
        <w:t xml:space="preserve"> </w:t>
      </w:r>
      <w:r w:rsidR="00955EB6" w:rsidRPr="18356903">
        <w:rPr>
          <w:rFonts w:ascii="Arial" w:hAnsi="Arial"/>
          <w:sz w:val="22"/>
          <w:szCs w:val="22"/>
        </w:rPr>
        <w:t xml:space="preserve">“Minneapolis </w:t>
      </w:r>
      <w:r w:rsidRPr="18356903">
        <w:rPr>
          <w:rFonts w:ascii="Arial" w:hAnsi="Arial"/>
          <w:sz w:val="22"/>
          <w:szCs w:val="22"/>
        </w:rPr>
        <w:t>Preference Priorities</w:t>
      </w:r>
      <w:r w:rsidR="00955EB6" w:rsidRPr="18356903">
        <w:rPr>
          <w:rFonts w:ascii="Arial" w:hAnsi="Arial"/>
          <w:sz w:val="22"/>
          <w:szCs w:val="22"/>
        </w:rPr>
        <w:t>”</w:t>
      </w:r>
      <w:r w:rsidRPr="18356903">
        <w:rPr>
          <w:rFonts w:ascii="Arial" w:hAnsi="Arial"/>
          <w:sz w:val="22"/>
          <w:szCs w:val="22"/>
        </w:rPr>
        <w:t xml:space="preserve"> points, the projects shall be deemed to be substantially </w:t>
      </w:r>
      <w:proofErr w:type="gramStart"/>
      <w:r w:rsidRPr="18356903">
        <w:rPr>
          <w:rFonts w:ascii="Arial" w:hAnsi="Arial"/>
          <w:sz w:val="22"/>
          <w:szCs w:val="22"/>
        </w:rPr>
        <w:t>equivalent</w:t>
      </w:r>
      <w:proofErr w:type="gramEnd"/>
      <w:r w:rsidRPr="18356903">
        <w:rPr>
          <w:rFonts w:ascii="Arial" w:hAnsi="Arial"/>
          <w:sz w:val="22"/>
          <w:szCs w:val="22"/>
        </w:rPr>
        <w:t xml:space="preserve"> </w:t>
      </w:r>
      <w:r w:rsidR="00245B69" w:rsidRPr="18356903">
        <w:rPr>
          <w:rFonts w:ascii="Arial" w:hAnsi="Arial"/>
          <w:sz w:val="22"/>
          <w:szCs w:val="22"/>
        </w:rPr>
        <w:t xml:space="preserve">and the Board will award </w:t>
      </w:r>
      <w:r w:rsidR="00C3168C" w:rsidRPr="18356903">
        <w:rPr>
          <w:rFonts w:ascii="Arial" w:hAnsi="Arial"/>
          <w:sz w:val="22"/>
          <w:szCs w:val="22"/>
        </w:rPr>
        <w:t>HTCs</w:t>
      </w:r>
      <w:r w:rsidRPr="18356903">
        <w:rPr>
          <w:rFonts w:ascii="Arial" w:hAnsi="Arial"/>
          <w:sz w:val="22"/>
          <w:szCs w:val="22"/>
        </w:rPr>
        <w:t xml:space="preserve"> to the project which best </w:t>
      </w:r>
      <w:r w:rsidR="00955EB6" w:rsidRPr="18356903">
        <w:rPr>
          <w:rFonts w:ascii="Arial" w:hAnsi="Arial"/>
          <w:sz w:val="22"/>
          <w:szCs w:val="22"/>
        </w:rPr>
        <w:t xml:space="preserve">addresses </w:t>
      </w:r>
      <w:r w:rsidRPr="18356903">
        <w:rPr>
          <w:rFonts w:ascii="Arial" w:hAnsi="Arial"/>
          <w:sz w:val="22"/>
          <w:szCs w:val="22"/>
        </w:rPr>
        <w:t xml:space="preserve">the </w:t>
      </w:r>
      <w:r w:rsidR="00955EB6" w:rsidRPr="18356903">
        <w:rPr>
          <w:rFonts w:ascii="Arial" w:hAnsi="Arial"/>
          <w:sz w:val="22"/>
          <w:szCs w:val="22"/>
        </w:rPr>
        <w:t>C</w:t>
      </w:r>
      <w:r w:rsidRPr="18356903">
        <w:rPr>
          <w:rFonts w:ascii="Arial" w:hAnsi="Arial"/>
          <w:sz w:val="22"/>
          <w:szCs w:val="22"/>
        </w:rPr>
        <w:t xml:space="preserve">ity’s </w:t>
      </w:r>
      <w:r w:rsidR="00955EB6" w:rsidRPr="18356903">
        <w:rPr>
          <w:rFonts w:ascii="Arial" w:hAnsi="Arial"/>
          <w:sz w:val="22"/>
          <w:szCs w:val="22"/>
        </w:rPr>
        <w:t xml:space="preserve">current </w:t>
      </w:r>
      <w:r w:rsidRPr="18356903">
        <w:rPr>
          <w:rFonts w:ascii="Arial" w:hAnsi="Arial"/>
          <w:sz w:val="22"/>
          <w:szCs w:val="22"/>
        </w:rPr>
        <w:t>housing priorities.</w:t>
      </w:r>
      <w:r w:rsidR="00955EB6" w:rsidRPr="18356903">
        <w:rPr>
          <w:rFonts w:ascii="Arial" w:hAnsi="Arial"/>
          <w:sz w:val="22"/>
          <w:szCs w:val="22"/>
        </w:rPr>
        <w:t xml:space="preserve">  </w:t>
      </w:r>
    </w:p>
    <w:p w14:paraId="20CAF038" w14:textId="77777777" w:rsidR="00955EB6" w:rsidRDefault="00955EB6" w:rsidP="002323C4">
      <w:pPr>
        <w:ind w:left="720"/>
        <w:jc w:val="both"/>
        <w:rPr>
          <w:rFonts w:ascii="Arial" w:hAnsi="Arial"/>
          <w:sz w:val="22"/>
        </w:rPr>
      </w:pPr>
    </w:p>
    <w:p w14:paraId="246E4C9E" w14:textId="77777777" w:rsidR="00043EEF" w:rsidRDefault="00A536EF" w:rsidP="002323C4">
      <w:pPr>
        <w:ind w:left="720"/>
        <w:jc w:val="both"/>
        <w:rPr>
          <w:rFonts w:ascii="Arial" w:hAnsi="Arial"/>
          <w:sz w:val="22"/>
        </w:rPr>
      </w:pPr>
      <w:r w:rsidRPr="00C3168C">
        <w:rPr>
          <w:rFonts w:ascii="Arial" w:hAnsi="Arial"/>
          <w:sz w:val="22"/>
          <w:u w:val="single"/>
        </w:rPr>
        <w:t xml:space="preserve">For </w:t>
      </w:r>
      <w:r w:rsidR="00C3168C">
        <w:rPr>
          <w:rFonts w:ascii="Arial" w:hAnsi="Arial"/>
          <w:sz w:val="22"/>
          <w:u w:val="single"/>
        </w:rPr>
        <w:t>projects located in S</w:t>
      </w:r>
      <w:r w:rsidRPr="00C3168C">
        <w:rPr>
          <w:rFonts w:ascii="Arial" w:hAnsi="Arial"/>
          <w:sz w:val="22"/>
          <w:u w:val="single"/>
        </w:rPr>
        <w:t>aint Paul</w:t>
      </w:r>
      <w:r>
        <w:rPr>
          <w:rFonts w:ascii="Arial" w:hAnsi="Arial"/>
          <w:sz w:val="22"/>
        </w:rPr>
        <w:t xml:space="preserve">: In the event two or more projects have overall point totals which are within </w:t>
      </w:r>
      <w:r w:rsidR="004708A2">
        <w:rPr>
          <w:rFonts w:ascii="Arial" w:hAnsi="Arial"/>
          <w:sz w:val="22"/>
        </w:rPr>
        <w:t>2</w:t>
      </w:r>
      <w:r w:rsidR="00043EEF">
        <w:rPr>
          <w:rFonts w:ascii="Arial" w:hAnsi="Arial"/>
          <w:sz w:val="22"/>
        </w:rPr>
        <w:t xml:space="preserve"> points of one another, the projects shall be deemed to be substantially equivalent</w:t>
      </w:r>
      <w:r w:rsidR="004708A2">
        <w:rPr>
          <w:rFonts w:ascii="Arial" w:hAnsi="Arial"/>
          <w:sz w:val="22"/>
        </w:rPr>
        <w:t>, and the HRA Board will select</w:t>
      </w:r>
      <w:r w:rsidR="00043EEF">
        <w:rPr>
          <w:rFonts w:ascii="Arial" w:hAnsi="Arial"/>
          <w:sz w:val="22"/>
        </w:rPr>
        <w:t xml:space="preserve"> th</w:t>
      </w:r>
      <w:r w:rsidR="00955EB6">
        <w:rPr>
          <w:rFonts w:ascii="Arial" w:hAnsi="Arial"/>
          <w:sz w:val="22"/>
        </w:rPr>
        <w:t>e project which best addresses the C</w:t>
      </w:r>
      <w:r w:rsidR="00043EEF">
        <w:rPr>
          <w:rFonts w:ascii="Arial" w:hAnsi="Arial"/>
          <w:sz w:val="22"/>
        </w:rPr>
        <w:t>ity’s housing priorities.</w:t>
      </w:r>
      <w:r w:rsidR="00955EB6">
        <w:rPr>
          <w:rFonts w:ascii="Arial" w:hAnsi="Arial"/>
          <w:sz w:val="22"/>
        </w:rPr>
        <w:t xml:space="preserve">  </w:t>
      </w:r>
    </w:p>
    <w:p w14:paraId="367E0CAF" w14:textId="77777777" w:rsidR="00043EEF" w:rsidRDefault="00043EEF" w:rsidP="00F41E09">
      <w:pPr>
        <w:jc w:val="both"/>
        <w:rPr>
          <w:rFonts w:ascii="Arial" w:hAnsi="Arial"/>
          <w:sz w:val="22"/>
        </w:rPr>
      </w:pPr>
    </w:p>
    <w:p w14:paraId="1CB973C3" w14:textId="6DA49510" w:rsidR="00043EEF" w:rsidRDefault="006451E9" w:rsidP="18356903">
      <w:pPr>
        <w:pStyle w:val="BodyText"/>
        <w:tabs>
          <w:tab w:val="clear" w:pos="720"/>
          <w:tab w:val="clear" w:pos="1260"/>
        </w:tabs>
        <w:jc w:val="both"/>
        <w:rPr>
          <w:rFonts w:ascii="Arial" w:hAnsi="Arial"/>
          <w:sz w:val="22"/>
          <w:szCs w:val="22"/>
        </w:rPr>
      </w:pPr>
      <w:r>
        <w:rPr>
          <w:rFonts w:ascii="Arial" w:hAnsi="Arial"/>
          <w:sz w:val="22"/>
        </w:rPr>
        <w:tab/>
      </w:r>
      <w:r w:rsidR="6A657FFF" w:rsidRPr="18356903">
        <w:rPr>
          <w:rFonts w:ascii="Arial" w:hAnsi="Arial"/>
          <w:sz w:val="22"/>
          <w:szCs w:val="22"/>
        </w:rPr>
        <w:t>M</w:t>
      </w:r>
      <w:r w:rsidR="00043EEF" w:rsidRPr="18356903">
        <w:rPr>
          <w:rFonts w:ascii="Arial" w:hAnsi="Arial"/>
          <w:sz w:val="22"/>
          <w:szCs w:val="22"/>
        </w:rPr>
        <w:t>.</w:t>
      </w:r>
      <w:r>
        <w:tab/>
      </w:r>
      <w:r w:rsidR="00043EEF" w:rsidRPr="18356903">
        <w:rPr>
          <w:rFonts w:ascii="Arial" w:hAnsi="Arial"/>
          <w:sz w:val="22"/>
          <w:szCs w:val="22"/>
        </w:rPr>
        <w:t xml:space="preserve">Projects selected and approved by the HRA Board of Commissioners or Minneapolis Council will be eligible to proceed </w:t>
      </w:r>
      <w:r w:rsidR="00D50A11" w:rsidRPr="18356903">
        <w:rPr>
          <w:rFonts w:ascii="Arial" w:hAnsi="Arial"/>
          <w:sz w:val="22"/>
          <w:szCs w:val="22"/>
        </w:rPr>
        <w:t xml:space="preserve">toward </w:t>
      </w:r>
      <w:r w:rsidR="00EE6348" w:rsidRPr="18356903">
        <w:rPr>
          <w:rFonts w:ascii="Arial" w:hAnsi="Arial"/>
          <w:sz w:val="22"/>
          <w:szCs w:val="22"/>
        </w:rPr>
        <w:t xml:space="preserve">a </w:t>
      </w:r>
      <w:r w:rsidR="00043EEF" w:rsidRPr="18356903">
        <w:rPr>
          <w:rFonts w:ascii="Arial" w:hAnsi="Arial"/>
          <w:sz w:val="22"/>
          <w:szCs w:val="22"/>
        </w:rPr>
        <w:t xml:space="preserve">commitment and </w:t>
      </w:r>
      <w:r w:rsidR="00522BFD" w:rsidRPr="18356903">
        <w:rPr>
          <w:rFonts w:ascii="Arial" w:hAnsi="Arial"/>
          <w:sz w:val="22"/>
          <w:szCs w:val="22"/>
        </w:rPr>
        <w:t xml:space="preserve">approval of </w:t>
      </w:r>
      <w:r w:rsidR="00043EEF" w:rsidRPr="18356903">
        <w:rPr>
          <w:rFonts w:ascii="Arial" w:hAnsi="Arial"/>
          <w:sz w:val="22"/>
          <w:szCs w:val="22"/>
        </w:rPr>
        <w:t>allocation</w:t>
      </w:r>
      <w:r w:rsidR="00245B69" w:rsidRPr="18356903">
        <w:rPr>
          <w:rFonts w:ascii="Arial" w:hAnsi="Arial"/>
          <w:sz w:val="22"/>
          <w:szCs w:val="22"/>
        </w:rPr>
        <w:t xml:space="preserve"> of 9% </w:t>
      </w:r>
      <w:r w:rsidR="00C3168C" w:rsidRPr="18356903">
        <w:rPr>
          <w:rFonts w:ascii="Arial" w:hAnsi="Arial"/>
          <w:sz w:val="22"/>
          <w:szCs w:val="22"/>
        </w:rPr>
        <w:t>HTC</w:t>
      </w:r>
      <w:r w:rsidR="00043EEF" w:rsidRPr="18356903">
        <w:rPr>
          <w:rFonts w:ascii="Arial" w:hAnsi="Arial"/>
          <w:sz w:val="22"/>
          <w:szCs w:val="22"/>
        </w:rPr>
        <w:t>.</w:t>
      </w:r>
    </w:p>
    <w:p w14:paraId="119ABFAF" w14:textId="77777777" w:rsidR="00043EEF" w:rsidRDefault="00043EEF" w:rsidP="00F41E09">
      <w:pPr>
        <w:tabs>
          <w:tab w:val="decimal" w:pos="720"/>
          <w:tab w:val="left" w:pos="1440"/>
        </w:tabs>
        <w:jc w:val="both"/>
        <w:rPr>
          <w:rFonts w:ascii="Arial" w:hAnsi="Arial"/>
          <w:sz w:val="22"/>
        </w:rPr>
      </w:pPr>
    </w:p>
    <w:p w14:paraId="78B846C1" w14:textId="7AD883A6" w:rsidR="009738E3" w:rsidRDefault="32475185" w:rsidP="00C77D6C">
      <w:pPr>
        <w:pStyle w:val="BodyText"/>
        <w:tabs>
          <w:tab w:val="clear" w:pos="720"/>
          <w:tab w:val="clear" w:pos="1260"/>
        </w:tabs>
        <w:ind w:firstLine="720"/>
        <w:jc w:val="both"/>
        <w:rPr>
          <w:rFonts w:ascii="Arial" w:hAnsi="Arial"/>
          <w:sz w:val="22"/>
          <w:szCs w:val="22"/>
        </w:rPr>
      </w:pPr>
      <w:r w:rsidRPr="3EF54F12">
        <w:rPr>
          <w:rFonts w:ascii="Arial" w:hAnsi="Arial"/>
          <w:sz w:val="22"/>
          <w:szCs w:val="22"/>
        </w:rPr>
        <w:t>N</w:t>
      </w:r>
      <w:r w:rsidR="14075B11" w:rsidRPr="3EF54F12">
        <w:rPr>
          <w:rFonts w:ascii="Arial" w:hAnsi="Arial"/>
          <w:sz w:val="22"/>
          <w:szCs w:val="22"/>
        </w:rPr>
        <w:t>.</w:t>
      </w:r>
      <w:r w:rsidR="00D50A11">
        <w:tab/>
      </w:r>
      <w:r w:rsidR="448D6F0A" w:rsidRPr="3EF54F12">
        <w:rPr>
          <w:rFonts w:ascii="Arial" w:hAnsi="Arial"/>
          <w:sz w:val="22"/>
          <w:szCs w:val="22"/>
        </w:rPr>
        <w:t xml:space="preserve">Any </w:t>
      </w:r>
      <w:r w:rsidR="134AED7B" w:rsidRPr="3EF54F12">
        <w:rPr>
          <w:rFonts w:ascii="Arial" w:hAnsi="Arial"/>
          <w:sz w:val="22"/>
          <w:szCs w:val="22"/>
        </w:rPr>
        <w:t xml:space="preserve">9% </w:t>
      </w:r>
      <w:r w:rsidR="6F92ABF9" w:rsidRPr="3EF54F12">
        <w:rPr>
          <w:rFonts w:ascii="Arial" w:hAnsi="Arial"/>
          <w:sz w:val="22"/>
          <w:szCs w:val="22"/>
        </w:rPr>
        <w:t xml:space="preserve">HTC </w:t>
      </w:r>
      <w:r w:rsidR="14075B11" w:rsidRPr="3EF54F12">
        <w:rPr>
          <w:rFonts w:ascii="Arial" w:hAnsi="Arial"/>
          <w:sz w:val="22"/>
          <w:szCs w:val="22"/>
        </w:rPr>
        <w:t>not committed or allocated by the Board as of the last</w:t>
      </w:r>
      <w:r w:rsidR="6F92ABF9" w:rsidRPr="3EF54F12">
        <w:rPr>
          <w:rFonts w:ascii="Arial" w:hAnsi="Arial"/>
          <w:sz w:val="22"/>
          <w:szCs w:val="22"/>
        </w:rPr>
        <w:t xml:space="preserve"> day of </w:t>
      </w:r>
      <w:r w:rsidR="448D6F0A" w:rsidRPr="3EF54F12">
        <w:rPr>
          <w:rFonts w:ascii="Arial" w:hAnsi="Arial"/>
          <w:sz w:val="22"/>
          <w:szCs w:val="22"/>
        </w:rPr>
        <w:t>Round 1</w:t>
      </w:r>
      <w:r w:rsidR="6F92ABF9" w:rsidRPr="3EF54F12">
        <w:rPr>
          <w:rFonts w:ascii="Arial" w:hAnsi="Arial"/>
          <w:sz w:val="22"/>
          <w:szCs w:val="22"/>
        </w:rPr>
        <w:t xml:space="preserve"> will </w:t>
      </w:r>
      <w:r w:rsidR="14075B11" w:rsidRPr="3EF54F12">
        <w:rPr>
          <w:rFonts w:ascii="Arial" w:hAnsi="Arial"/>
          <w:sz w:val="22"/>
          <w:szCs w:val="22"/>
        </w:rPr>
        <w:t xml:space="preserve">be returned to </w:t>
      </w:r>
      <w:r w:rsidR="134AED7B" w:rsidRPr="3EF54F12">
        <w:rPr>
          <w:rFonts w:ascii="Arial" w:hAnsi="Arial"/>
          <w:sz w:val="22"/>
          <w:szCs w:val="22"/>
        </w:rPr>
        <w:t>Minnesota Housing</w:t>
      </w:r>
      <w:r w:rsidR="6F92ABF9" w:rsidRPr="3EF54F12">
        <w:rPr>
          <w:rFonts w:ascii="Arial" w:hAnsi="Arial"/>
          <w:sz w:val="22"/>
          <w:szCs w:val="22"/>
        </w:rPr>
        <w:t xml:space="preserve">.  If any commitment for </w:t>
      </w:r>
      <w:r w:rsidR="0EB20D42" w:rsidRPr="3EF54F12">
        <w:rPr>
          <w:rFonts w:ascii="Arial" w:hAnsi="Arial"/>
          <w:sz w:val="22"/>
          <w:szCs w:val="22"/>
        </w:rPr>
        <w:t xml:space="preserve">9% </w:t>
      </w:r>
      <w:r w:rsidR="6F92ABF9" w:rsidRPr="3EF54F12">
        <w:rPr>
          <w:rFonts w:ascii="Arial" w:hAnsi="Arial"/>
          <w:sz w:val="22"/>
          <w:szCs w:val="22"/>
        </w:rPr>
        <w:t>HTC</w:t>
      </w:r>
      <w:r w:rsidR="2B70F896" w:rsidRPr="3EF54F12">
        <w:rPr>
          <w:rFonts w:ascii="Arial" w:hAnsi="Arial"/>
          <w:sz w:val="22"/>
          <w:szCs w:val="22"/>
        </w:rPr>
        <w:t xml:space="preserve"> is redu</w:t>
      </w:r>
      <w:r w:rsidR="0EB20D42" w:rsidRPr="3EF54F12">
        <w:rPr>
          <w:rFonts w:ascii="Arial" w:hAnsi="Arial"/>
          <w:sz w:val="22"/>
          <w:szCs w:val="22"/>
        </w:rPr>
        <w:t xml:space="preserve">ced or revoked, the </w:t>
      </w:r>
      <w:r w:rsidR="448D6F0A" w:rsidRPr="3EF54F12">
        <w:rPr>
          <w:rFonts w:ascii="Arial" w:hAnsi="Arial"/>
          <w:sz w:val="22"/>
          <w:szCs w:val="22"/>
        </w:rPr>
        <w:t xml:space="preserve">amount of such reduction or revocation of </w:t>
      </w:r>
      <w:r w:rsidR="134AED7B" w:rsidRPr="3EF54F12">
        <w:rPr>
          <w:rFonts w:ascii="Arial" w:hAnsi="Arial"/>
          <w:sz w:val="22"/>
          <w:szCs w:val="22"/>
        </w:rPr>
        <w:t xml:space="preserve">9% </w:t>
      </w:r>
      <w:r w:rsidR="0EB20D42" w:rsidRPr="3EF54F12">
        <w:rPr>
          <w:rFonts w:ascii="Arial" w:hAnsi="Arial"/>
          <w:sz w:val="22"/>
          <w:szCs w:val="22"/>
        </w:rPr>
        <w:t>HTC</w:t>
      </w:r>
      <w:r w:rsidR="14075B11" w:rsidRPr="3EF54F12">
        <w:rPr>
          <w:rFonts w:ascii="Arial" w:hAnsi="Arial"/>
          <w:sz w:val="22"/>
          <w:szCs w:val="22"/>
        </w:rPr>
        <w:t xml:space="preserve"> may be reallocated by the Board before the end of the </w:t>
      </w:r>
      <w:r w:rsidR="25A8E62E" w:rsidRPr="3EF54F12">
        <w:rPr>
          <w:rFonts w:ascii="Arial" w:hAnsi="Arial"/>
          <w:sz w:val="22"/>
          <w:szCs w:val="22"/>
        </w:rPr>
        <w:t xml:space="preserve">last day of </w:t>
      </w:r>
      <w:r w:rsidR="448D6F0A" w:rsidRPr="3EF54F12">
        <w:rPr>
          <w:rFonts w:ascii="Arial" w:hAnsi="Arial"/>
          <w:sz w:val="22"/>
          <w:szCs w:val="22"/>
        </w:rPr>
        <w:t xml:space="preserve">Round 1 </w:t>
      </w:r>
      <w:r w:rsidR="14075B11" w:rsidRPr="3EF54F12">
        <w:rPr>
          <w:rFonts w:ascii="Arial" w:hAnsi="Arial"/>
          <w:sz w:val="22"/>
          <w:szCs w:val="22"/>
        </w:rPr>
        <w:t>as provided in the Procedural Manual.</w:t>
      </w:r>
    </w:p>
    <w:p w14:paraId="507F646E" w14:textId="77777777" w:rsidR="009738E3" w:rsidRDefault="009738E3" w:rsidP="00F41E09">
      <w:pPr>
        <w:pStyle w:val="BodyText"/>
        <w:tabs>
          <w:tab w:val="clear" w:pos="1260"/>
          <w:tab w:val="left" w:pos="1440"/>
        </w:tabs>
        <w:jc w:val="both"/>
        <w:rPr>
          <w:rFonts w:ascii="Arial" w:hAnsi="Arial"/>
          <w:sz w:val="22"/>
        </w:rPr>
      </w:pPr>
    </w:p>
    <w:p w14:paraId="423CB5CA" w14:textId="5F3F5E41" w:rsidR="00D9495A" w:rsidRPr="00C479A9" w:rsidRDefault="000E1966" w:rsidP="3EF54F12">
      <w:pPr>
        <w:jc w:val="both"/>
        <w:rPr>
          <w:rFonts w:ascii="Arial" w:hAnsi="Arial"/>
          <w:sz w:val="22"/>
          <w:szCs w:val="22"/>
        </w:rPr>
      </w:pPr>
      <w:r w:rsidRPr="3EF54F12">
        <w:rPr>
          <w:rFonts w:ascii="Arial" w:hAnsi="Arial" w:cs="Arial"/>
          <w:sz w:val="22"/>
          <w:szCs w:val="22"/>
        </w:rPr>
        <w:lastRenderedPageBreak/>
        <w:t xml:space="preserve">         </w:t>
      </w:r>
      <w:r w:rsidR="000A1CC5" w:rsidRPr="3EF54F12">
        <w:rPr>
          <w:rFonts w:ascii="Arial" w:hAnsi="Arial" w:cs="Arial"/>
          <w:sz w:val="22"/>
          <w:szCs w:val="22"/>
        </w:rPr>
        <w:t xml:space="preserve"> </w:t>
      </w:r>
      <w:r w:rsidR="00D50A11" w:rsidRPr="3EF54F12">
        <w:rPr>
          <w:rFonts w:ascii="Arial" w:hAnsi="Arial" w:cs="Arial"/>
          <w:sz w:val="22"/>
          <w:szCs w:val="22"/>
        </w:rPr>
        <w:t xml:space="preserve"> </w:t>
      </w:r>
      <w:r w:rsidR="6A354156" w:rsidRPr="3EF54F12">
        <w:rPr>
          <w:rFonts w:ascii="Arial" w:hAnsi="Arial" w:cs="Arial"/>
          <w:sz w:val="22"/>
          <w:szCs w:val="22"/>
        </w:rPr>
        <w:t>O</w:t>
      </w:r>
      <w:r w:rsidRPr="3EF54F12">
        <w:rPr>
          <w:rFonts w:ascii="Arial" w:hAnsi="Arial" w:cs="Arial"/>
          <w:sz w:val="22"/>
          <w:szCs w:val="22"/>
        </w:rPr>
        <w:t xml:space="preserve">.     </w:t>
      </w:r>
      <w:r>
        <w:tab/>
      </w:r>
      <w:r w:rsidR="00D50A11" w:rsidRPr="3EF54F12">
        <w:rPr>
          <w:rFonts w:ascii="Arial" w:hAnsi="Arial" w:cs="Arial"/>
          <w:sz w:val="22"/>
          <w:szCs w:val="22"/>
        </w:rPr>
        <w:t>Participants in the HTC Program will be required to use affirmative fair housing marketing practices in soliciting renters, determining eligibility, and concluding all transactions addressed in Title VII of the Civil Rights Act of 1968, as amended by the Fair Housing Amendment Act of 1988, as well as the fair housing protections provided by the Minnesota Human Rights Act, which adds creed, marital status with regard to public housing, and sexual orientation, and any applicable City Civil Rights ordinances</w:t>
      </w:r>
      <w:r w:rsidR="00F85BBC" w:rsidRPr="3EF54F12">
        <w:rPr>
          <w:rFonts w:ascii="Arial" w:hAnsi="Arial" w:cs="Arial"/>
          <w:sz w:val="22"/>
          <w:szCs w:val="22"/>
        </w:rPr>
        <w:t xml:space="preserve">. </w:t>
      </w:r>
    </w:p>
    <w:p w14:paraId="199390CB" w14:textId="6CA27E9C" w:rsidR="3EF54F12" w:rsidRDefault="3EF54F12" w:rsidP="3EF54F12">
      <w:pPr>
        <w:pStyle w:val="BodyText"/>
        <w:tabs>
          <w:tab w:val="clear" w:pos="1260"/>
          <w:tab w:val="left" w:pos="1440"/>
        </w:tabs>
        <w:jc w:val="center"/>
        <w:rPr>
          <w:rFonts w:ascii="Arial" w:hAnsi="Arial"/>
          <w:b/>
          <w:bCs/>
          <w:sz w:val="22"/>
          <w:szCs w:val="22"/>
        </w:rPr>
      </w:pPr>
    </w:p>
    <w:p w14:paraId="25ADD50C" w14:textId="77777777" w:rsidR="00043EEF" w:rsidRPr="00F85BBC" w:rsidRDefault="00623FD9" w:rsidP="003E4B93">
      <w:pPr>
        <w:pStyle w:val="BodyText"/>
        <w:tabs>
          <w:tab w:val="clear" w:pos="1260"/>
          <w:tab w:val="left" w:pos="1440"/>
        </w:tabs>
        <w:jc w:val="center"/>
        <w:rPr>
          <w:rFonts w:ascii="Arial" w:hAnsi="Arial"/>
          <w:b/>
          <w:sz w:val="22"/>
        </w:rPr>
      </w:pPr>
      <w:r w:rsidRPr="00F85BBC">
        <w:rPr>
          <w:rFonts w:ascii="Arial" w:hAnsi="Arial"/>
          <w:b/>
          <w:sz w:val="22"/>
          <w:szCs w:val="22"/>
        </w:rPr>
        <w:t>ARTICLE VIII</w:t>
      </w:r>
      <w:r w:rsidR="006B08DD" w:rsidRPr="00F85BBC">
        <w:rPr>
          <w:rFonts w:ascii="Arial" w:hAnsi="Arial"/>
          <w:b/>
          <w:sz w:val="22"/>
          <w:szCs w:val="22"/>
        </w:rPr>
        <w:t xml:space="preserve">    </w:t>
      </w:r>
      <w:r w:rsidR="006B08DD" w:rsidRPr="00F85BBC">
        <w:rPr>
          <w:rFonts w:ascii="Arial" w:hAnsi="Arial"/>
          <w:b/>
          <w:sz w:val="22"/>
        </w:rPr>
        <w:t xml:space="preserve">         </w:t>
      </w:r>
    </w:p>
    <w:p w14:paraId="18D3051A" w14:textId="77777777" w:rsidR="00043EEF" w:rsidRDefault="00F87742">
      <w:pPr>
        <w:jc w:val="center"/>
        <w:rPr>
          <w:rFonts w:ascii="Arial" w:hAnsi="Arial"/>
          <w:b/>
          <w:sz w:val="22"/>
        </w:rPr>
      </w:pPr>
      <w:r>
        <w:rPr>
          <w:rFonts w:ascii="Arial" w:hAnsi="Arial"/>
          <w:b/>
          <w:sz w:val="22"/>
        </w:rPr>
        <w:t>HTC</w:t>
      </w:r>
      <w:r w:rsidR="00043EEF">
        <w:rPr>
          <w:rFonts w:ascii="Arial" w:hAnsi="Arial"/>
          <w:b/>
          <w:sz w:val="22"/>
        </w:rPr>
        <w:t xml:space="preserve"> for </w:t>
      </w:r>
      <w:r w:rsidR="003E4B93">
        <w:rPr>
          <w:rFonts w:ascii="Arial" w:hAnsi="Arial"/>
          <w:b/>
          <w:sz w:val="22"/>
        </w:rPr>
        <w:t>Projects</w:t>
      </w:r>
      <w:r w:rsidR="00043EEF">
        <w:rPr>
          <w:rFonts w:ascii="Arial" w:hAnsi="Arial"/>
          <w:b/>
          <w:sz w:val="22"/>
        </w:rPr>
        <w:t xml:space="preserve"> Financed </w:t>
      </w:r>
      <w:r w:rsidR="003E4B93">
        <w:rPr>
          <w:rFonts w:ascii="Arial" w:hAnsi="Arial"/>
          <w:b/>
          <w:sz w:val="22"/>
        </w:rPr>
        <w:t>with</w:t>
      </w:r>
      <w:r w:rsidR="00043EEF">
        <w:rPr>
          <w:rFonts w:ascii="Arial" w:hAnsi="Arial"/>
          <w:b/>
          <w:sz w:val="22"/>
        </w:rPr>
        <w:t xml:space="preserve"> Tax-Exempt</w:t>
      </w:r>
      <w:r w:rsidR="00C15282">
        <w:rPr>
          <w:rFonts w:ascii="Arial" w:hAnsi="Arial"/>
          <w:b/>
          <w:sz w:val="22"/>
        </w:rPr>
        <w:t xml:space="preserve"> Housing Revenue</w:t>
      </w:r>
      <w:r w:rsidR="00043EEF">
        <w:rPr>
          <w:rFonts w:ascii="Arial" w:hAnsi="Arial"/>
          <w:b/>
          <w:sz w:val="22"/>
        </w:rPr>
        <w:t xml:space="preserve"> Bonds</w:t>
      </w:r>
    </w:p>
    <w:p w14:paraId="727784D1" w14:textId="77777777" w:rsidR="00043EEF" w:rsidRDefault="00043EEF">
      <w:pPr>
        <w:rPr>
          <w:rFonts w:ascii="Arial" w:hAnsi="Arial"/>
          <w:sz w:val="22"/>
        </w:rPr>
      </w:pPr>
    </w:p>
    <w:p w14:paraId="6E2F45FA" w14:textId="77777777" w:rsidR="007B1C52" w:rsidRDefault="00043EEF">
      <w:pPr>
        <w:pStyle w:val="BodyText"/>
        <w:tabs>
          <w:tab w:val="clear" w:pos="1260"/>
          <w:tab w:val="left" w:pos="720"/>
        </w:tabs>
        <w:jc w:val="both"/>
        <w:rPr>
          <w:rFonts w:ascii="Arial" w:hAnsi="Arial"/>
          <w:sz w:val="22"/>
        </w:rPr>
      </w:pPr>
      <w:r>
        <w:rPr>
          <w:rFonts w:ascii="Arial" w:hAnsi="Arial"/>
          <w:sz w:val="22"/>
        </w:rPr>
        <w:tab/>
        <w:t>Section 42(h)(4) of the Code provides that</w:t>
      </w:r>
      <w:r w:rsidR="007B1C52">
        <w:rPr>
          <w:rFonts w:ascii="Arial" w:hAnsi="Arial"/>
          <w:sz w:val="22"/>
        </w:rPr>
        <w:t>,</w:t>
      </w:r>
      <w:r>
        <w:rPr>
          <w:rFonts w:ascii="Arial" w:hAnsi="Arial"/>
          <w:sz w:val="22"/>
        </w:rPr>
        <w:t xml:space="preserve"> under certain circumstances</w:t>
      </w:r>
      <w:r w:rsidR="007B1C52">
        <w:rPr>
          <w:rFonts w:ascii="Arial" w:hAnsi="Arial"/>
          <w:sz w:val="22"/>
        </w:rPr>
        <w:t>,</w:t>
      </w:r>
      <w:r>
        <w:rPr>
          <w:rFonts w:ascii="Arial" w:hAnsi="Arial"/>
          <w:sz w:val="22"/>
        </w:rPr>
        <w:t xml:space="preserve"> </w:t>
      </w:r>
      <w:r w:rsidR="007B1C52">
        <w:rPr>
          <w:rFonts w:ascii="Arial" w:hAnsi="Arial"/>
          <w:sz w:val="22"/>
        </w:rPr>
        <w:t xml:space="preserve">owners of </w:t>
      </w:r>
      <w:r>
        <w:rPr>
          <w:rFonts w:ascii="Arial" w:hAnsi="Arial"/>
          <w:sz w:val="22"/>
        </w:rPr>
        <w:t xml:space="preserve">buildings or a portion thereof financed with </w:t>
      </w:r>
      <w:r w:rsidR="007B1C52">
        <w:rPr>
          <w:rFonts w:ascii="Arial" w:hAnsi="Arial"/>
          <w:sz w:val="22"/>
        </w:rPr>
        <w:t>p</w:t>
      </w:r>
      <w:r w:rsidR="003E4B93">
        <w:rPr>
          <w:rFonts w:ascii="Arial" w:hAnsi="Arial"/>
          <w:sz w:val="22"/>
        </w:rPr>
        <w:t xml:space="preserve">rivate activity </w:t>
      </w:r>
      <w:r>
        <w:rPr>
          <w:rFonts w:ascii="Arial" w:hAnsi="Arial"/>
          <w:sz w:val="22"/>
        </w:rPr>
        <w:t xml:space="preserve">bonds </w:t>
      </w:r>
      <w:r w:rsidR="003E4B93">
        <w:rPr>
          <w:rFonts w:ascii="Arial" w:hAnsi="Arial"/>
          <w:sz w:val="22"/>
        </w:rPr>
        <w:t xml:space="preserve">issued by a governmental entity pursuant to Section </w:t>
      </w:r>
      <w:r w:rsidR="00867B03">
        <w:rPr>
          <w:rFonts w:ascii="Arial" w:hAnsi="Arial"/>
          <w:sz w:val="22"/>
        </w:rPr>
        <w:t>142</w:t>
      </w:r>
      <w:r w:rsidR="003E4B93" w:rsidRPr="00D50A11">
        <w:rPr>
          <w:rFonts w:ascii="Arial" w:hAnsi="Arial"/>
          <w:sz w:val="22"/>
        </w:rPr>
        <w:t xml:space="preserve"> of</w:t>
      </w:r>
      <w:r w:rsidR="003E4B93">
        <w:rPr>
          <w:rFonts w:ascii="Arial" w:hAnsi="Arial"/>
          <w:sz w:val="22"/>
        </w:rPr>
        <w:t xml:space="preserve"> the Code </w:t>
      </w:r>
      <w:r>
        <w:rPr>
          <w:rFonts w:ascii="Arial" w:hAnsi="Arial"/>
          <w:sz w:val="22"/>
        </w:rPr>
        <w:t xml:space="preserve">may qualify </w:t>
      </w:r>
      <w:r w:rsidR="00245B69">
        <w:rPr>
          <w:rFonts w:ascii="Arial" w:hAnsi="Arial"/>
          <w:sz w:val="22"/>
        </w:rPr>
        <w:t xml:space="preserve">for the 4% </w:t>
      </w:r>
      <w:r w:rsidR="003E4B93">
        <w:rPr>
          <w:rFonts w:ascii="Arial" w:hAnsi="Arial"/>
          <w:sz w:val="22"/>
        </w:rPr>
        <w:t xml:space="preserve">HTC pursuant to </w:t>
      </w:r>
      <w:r>
        <w:rPr>
          <w:rFonts w:ascii="Arial" w:hAnsi="Arial"/>
          <w:sz w:val="22"/>
        </w:rPr>
        <w:t>Section 42 of the Code</w:t>
      </w:r>
      <w:r w:rsidR="007B1C52">
        <w:rPr>
          <w:rFonts w:ascii="Arial" w:hAnsi="Arial"/>
          <w:sz w:val="22"/>
        </w:rPr>
        <w:t xml:space="preserve">.  </w:t>
      </w:r>
      <w:r>
        <w:rPr>
          <w:rFonts w:ascii="Arial" w:hAnsi="Arial"/>
          <w:sz w:val="22"/>
        </w:rPr>
        <w:t xml:space="preserve">In order to qualify for </w:t>
      </w:r>
      <w:r w:rsidR="00245B69">
        <w:rPr>
          <w:rFonts w:ascii="Arial" w:hAnsi="Arial"/>
          <w:sz w:val="22"/>
        </w:rPr>
        <w:t xml:space="preserve">4% </w:t>
      </w:r>
      <w:r w:rsidR="007B1C52">
        <w:rPr>
          <w:rFonts w:ascii="Arial" w:hAnsi="Arial"/>
          <w:sz w:val="22"/>
        </w:rPr>
        <w:t xml:space="preserve">HTCs, an applicant must submit an </w:t>
      </w:r>
      <w:proofErr w:type="gramStart"/>
      <w:r w:rsidR="007B1C52">
        <w:rPr>
          <w:rFonts w:ascii="Arial" w:hAnsi="Arial"/>
          <w:sz w:val="22"/>
        </w:rPr>
        <w:t>Application</w:t>
      </w:r>
      <w:proofErr w:type="gramEnd"/>
      <w:r w:rsidR="007B1C52">
        <w:rPr>
          <w:rFonts w:ascii="Arial" w:hAnsi="Arial"/>
          <w:sz w:val="22"/>
        </w:rPr>
        <w:t xml:space="preserve"> pursuant to this </w:t>
      </w:r>
      <w:r w:rsidR="00245B69">
        <w:rPr>
          <w:rFonts w:ascii="Arial" w:hAnsi="Arial"/>
          <w:sz w:val="22"/>
        </w:rPr>
        <w:t>QAP</w:t>
      </w:r>
      <w:r w:rsidR="007B1C52">
        <w:rPr>
          <w:rFonts w:ascii="Arial" w:hAnsi="Arial"/>
          <w:sz w:val="22"/>
        </w:rPr>
        <w:t xml:space="preserve">, which Application must satisfy the requirements of this </w:t>
      </w:r>
      <w:r w:rsidR="00245B69">
        <w:rPr>
          <w:rFonts w:ascii="Arial" w:hAnsi="Arial"/>
          <w:sz w:val="22"/>
        </w:rPr>
        <w:t>QAP</w:t>
      </w:r>
      <w:r w:rsidR="007B1C52">
        <w:rPr>
          <w:rFonts w:ascii="Arial" w:hAnsi="Arial"/>
          <w:sz w:val="22"/>
        </w:rPr>
        <w:t xml:space="preserve">.  </w:t>
      </w:r>
    </w:p>
    <w:p w14:paraId="269C71FF" w14:textId="77777777" w:rsidR="007B1C52" w:rsidRDefault="007B1C52">
      <w:pPr>
        <w:pStyle w:val="BodyText"/>
        <w:tabs>
          <w:tab w:val="clear" w:pos="1260"/>
          <w:tab w:val="left" w:pos="720"/>
        </w:tabs>
        <w:jc w:val="both"/>
        <w:rPr>
          <w:rFonts w:ascii="Arial" w:hAnsi="Arial"/>
          <w:sz w:val="22"/>
        </w:rPr>
      </w:pPr>
    </w:p>
    <w:p w14:paraId="5ACE05F2" w14:textId="77777777" w:rsidR="002B0D56" w:rsidRPr="00D50A11" w:rsidRDefault="002B0D56" w:rsidP="00623FD9">
      <w:pPr>
        <w:jc w:val="both"/>
        <w:rPr>
          <w:rFonts w:ascii="Arial" w:hAnsi="Arial"/>
          <w:sz w:val="22"/>
        </w:rPr>
      </w:pPr>
      <w:r>
        <w:rPr>
          <w:rFonts w:ascii="Arial" w:hAnsi="Arial"/>
          <w:sz w:val="22"/>
        </w:rPr>
        <w:tab/>
        <w:t xml:space="preserve">Note: Bond volume cap will not be issued in </w:t>
      </w:r>
      <w:r w:rsidR="00011352">
        <w:rPr>
          <w:rFonts w:ascii="Arial" w:hAnsi="Arial"/>
          <w:sz w:val="22"/>
        </w:rPr>
        <w:t>an</w:t>
      </w:r>
      <w:r>
        <w:rPr>
          <w:rFonts w:ascii="Arial" w:hAnsi="Arial"/>
          <w:sz w:val="22"/>
        </w:rPr>
        <w:t xml:space="preserve"> amount greater than </w:t>
      </w:r>
      <w:r w:rsidRPr="00D50A11">
        <w:rPr>
          <w:rFonts w:ascii="Arial" w:hAnsi="Arial"/>
          <w:sz w:val="22"/>
        </w:rPr>
        <w:t xml:space="preserve">53% of basis as defined in tax-exempt bond rules. </w:t>
      </w:r>
    </w:p>
    <w:p w14:paraId="2CC70B9A" w14:textId="77777777" w:rsidR="00011352" w:rsidRPr="00D50A11" w:rsidRDefault="00011352" w:rsidP="00623FD9">
      <w:pPr>
        <w:jc w:val="both"/>
        <w:rPr>
          <w:rFonts w:ascii="Arial" w:hAnsi="Arial"/>
          <w:sz w:val="22"/>
        </w:rPr>
      </w:pPr>
    </w:p>
    <w:p w14:paraId="6B14E1FE" w14:textId="7DBBA5D8" w:rsidR="00867B03" w:rsidRDefault="005B3A31" w:rsidP="00867B03">
      <w:pPr>
        <w:jc w:val="both"/>
        <w:rPr>
          <w:rFonts w:ascii="Arial" w:hAnsi="Arial"/>
          <w:sz w:val="22"/>
        </w:rPr>
      </w:pPr>
      <w:r w:rsidRPr="00D50A11">
        <w:rPr>
          <w:rFonts w:ascii="Arial" w:hAnsi="Arial"/>
          <w:sz w:val="22"/>
        </w:rPr>
        <w:tab/>
        <w:t>T</w:t>
      </w:r>
      <w:r w:rsidR="00011352" w:rsidRPr="00D50A11">
        <w:rPr>
          <w:rFonts w:ascii="Arial" w:hAnsi="Arial"/>
          <w:sz w:val="22"/>
        </w:rPr>
        <w:t xml:space="preserve">o qualify </w:t>
      </w:r>
      <w:r w:rsidR="00245B69" w:rsidRPr="00D50A11">
        <w:rPr>
          <w:rFonts w:ascii="Arial" w:hAnsi="Arial"/>
          <w:sz w:val="22"/>
        </w:rPr>
        <w:t xml:space="preserve">for 4% </w:t>
      </w:r>
      <w:r w:rsidRPr="00D50A11">
        <w:rPr>
          <w:rFonts w:ascii="Arial" w:hAnsi="Arial"/>
          <w:sz w:val="22"/>
        </w:rPr>
        <w:t>HTC,</w:t>
      </w:r>
      <w:r w:rsidR="00623FD9" w:rsidRPr="00D50A11">
        <w:rPr>
          <w:rFonts w:ascii="Arial" w:hAnsi="Arial"/>
          <w:sz w:val="22"/>
        </w:rPr>
        <w:t xml:space="preserve"> the Application submitted by the applicant must </w:t>
      </w:r>
      <w:r w:rsidR="00011352" w:rsidRPr="00D50A11">
        <w:rPr>
          <w:rFonts w:ascii="Arial" w:hAnsi="Arial"/>
          <w:sz w:val="22"/>
        </w:rPr>
        <w:t xml:space="preserve">demonstrate that the project is eligible for no less than </w:t>
      </w:r>
      <w:r w:rsidR="00757202">
        <w:rPr>
          <w:rFonts w:ascii="Arial" w:hAnsi="Arial"/>
          <w:sz w:val="22"/>
        </w:rPr>
        <w:t>30</w:t>
      </w:r>
      <w:r w:rsidR="00011352" w:rsidRPr="00D50A11">
        <w:rPr>
          <w:rFonts w:ascii="Arial" w:hAnsi="Arial"/>
          <w:sz w:val="22"/>
        </w:rPr>
        <w:t xml:space="preserve"> points</w:t>
      </w:r>
      <w:r w:rsidR="00CF230D">
        <w:rPr>
          <w:rFonts w:ascii="Arial" w:hAnsi="Arial"/>
          <w:sz w:val="22"/>
        </w:rPr>
        <w:t xml:space="preserve"> for projects located in the City of Minneapolis or 40 points for projects located in the City of Saint Paul</w:t>
      </w:r>
      <w:r w:rsidRPr="00D50A11">
        <w:rPr>
          <w:rFonts w:ascii="Arial" w:hAnsi="Arial"/>
          <w:sz w:val="22"/>
        </w:rPr>
        <w:t xml:space="preserve"> o</w:t>
      </w:r>
      <w:r w:rsidR="00CF230D">
        <w:rPr>
          <w:rFonts w:ascii="Arial" w:hAnsi="Arial"/>
          <w:sz w:val="22"/>
        </w:rPr>
        <w:t>n</w:t>
      </w:r>
      <w:r w:rsidRPr="00D50A11">
        <w:rPr>
          <w:rFonts w:ascii="Arial" w:hAnsi="Arial"/>
          <w:sz w:val="22"/>
        </w:rPr>
        <w:t xml:space="preserve"> the </w:t>
      </w:r>
      <w:r w:rsidR="000D19F9" w:rsidRPr="00D50A11">
        <w:rPr>
          <w:rFonts w:ascii="Arial" w:hAnsi="Arial"/>
          <w:sz w:val="22"/>
        </w:rPr>
        <w:t>Self-S</w:t>
      </w:r>
      <w:r w:rsidRPr="00D50A11">
        <w:rPr>
          <w:rFonts w:ascii="Arial" w:hAnsi="Arial"/>
          <w:sz w:val="22"/>
        </w:rPr>
        <w:t>corin</w:t>
      </w:r>
      <w:r w:rsidR="000D19F9" w:rsidRPr="00D50A11">
        <w:rPr>
          <w:rFonts w:ascii="Arial" w:hAnsi="Arial"/>
          <w:sz w:val="22"/>
        </w:rPr>
        <w:t>g W</w:t>
      </w:r>
      <w:r w:rsidR="00166561" w:rsidRPr="00D50A11">
        <w:rPr>
          <w:rFonts w:ascii="Arial" w:hAnsi="Arial"/>
          <w:sz w:val="22"/>
        </w:rPr>
        <w:t>orksheet attached hereto as Attachment</w:t>
      </w:r>
      <w:r w:rsidRPr="00D50A11">
        <w:rPr>
          <w:rFonts w:ascii="Arial" w:hAnsi="Arial"/>
          <w:sz w:val="22"/>
        </w:rPr>
        <w:t xml:space="preserve"> </w:t>
      </w:r>
      <w:r w:rsidR="000D19F9" w:rsidRPr="00D50A11">
        <w:rPr>
          <w:rFonts w:ascii="Arial" w:hAnsi="Arial"/>
          <w:sz w:val="22"/>
        </w:rPr>
        <w:t>3</w:t>
      </w:r>
      <w:r w:rsidR="009C75EF">
        <w:rPr>
          <w:rFonts w:ascii="Arial" w:hAnsi="Arial"/>
          <w:sz w:val="22"/>
        </w:rPr>
        <w:t xml:space="preserve"> or Attachment 4 for Minneapolis and Saint Paul, respectively.</w:t>
      </w:r>
      <w:r w:rsidR="00DB2C4E" w:rsidRPr="00D50A11">
        <w:rPr>
          <w:rFonts w:ascii="Arial" w:hAnsi="Arial"/>
          <w:sz w:val="22"/>
        </w:rPr>
        <w:t xml:space="preserve"> </w:t>
      </w:r>
    </w:p>
    <w:p w14:paraId="1B2EBF51" w14:textId="77777777" w:rsidR="00867B03" w:rsidRDefault="00867B03" w:rsidP="00867B03">
      <w:pPr>
        <w:jc w:val="both"/>
        <w:rPr>
          <w:rFonts w:ascii="Arial" w:hAnsi="Arial"/>
          <w:sz w:val="22"/>
        </w:rPr>
      </w:pPr>
    </w:p>
    <w:p w14:paraId="6B6E4B95" w14:textId="45D63B78" w:rsidR="000747E0" w:rsidRPr="00D50A11" w:rsidRDefault="00043EEF" w:rsidP="00867B03">
      <w:pPr>
        <w:jc w:val="both"/>
        <w:rPr>
          <w:rFonts w:ascii="Arial" w:hAnsi="Arial"/>
          <w:sz w:val="22"/>
        </w:rPr>
      </w:pPr>
      <w:r w:rsidRPr="00D50A11">
        <w:rPr>
          <w:rFonts w:ascii="Arial" w:hAnsi="Arial"/>
          <w:sz w:val="22"/>
        </w:rPr>
        <w:tab/>
      </w:r>
      <w:r w:rsidR="00DB2C4E" w:rsidRPr="00D50A11">
        <w:rPr>
          <w:rFonts w:ascii="Arial" w:hAnsi="Arial"/>
          <w:sz w:val="22"/>
        </w:rPr>
        <w:t xml:space="preserve">In addition to the requirements of this </w:t>
      </w:r>
      <w:r w:rsidR="00245B69" w:rsidRPr="00D50A11">
        <w:rPr>
          <w:rFonts w:ascii="Arial" w:hAnsi="Arial"/>
          <w:sz w:val="22"/>
        </w:rPr>
        <w:t>QAP</w:t>
      </w:r>
      <w:r w:rsidR="00DB2C4E" w:rsidRPr="00D50A11">
        <w:rPr>
          <w:rFonts w:ascii="Arial" w:hAnsi="Arial"/>
          <w:sz w:val="22"/>
        </w:rPr>
        <w:t xml:space="preserve">, </w:t>
      </w:r>
      <w:r w:rsidRPr="00D50A11">
        <w:rPr>
          <w:rFonts w:ascii="Arial" w:hAnsi="Arial"/>
          <w:sz w:val="22"/>
        </w:rPr>
        <w:t xml:space="preserve">HRA and </w:t>
      </w:r>
      <w:r w:rsidR="00133988" w:rsidRPr="00D50A11">
        <w:rPr>
          <w:rFonts w:ascii="Arial" w:hAnsi="Arial"/>
          <w:sz w:val="22"/>
        </w:rPr>
        <w:t>CPED</w:t>
      </w:r>
      <w:r w:rsidRPr="00D50A11">
        <w:rPr>
          <w:rFonts w:ascii="Arial" w:hAnsi="Arial"/>
          <w:sz w:val="22"/>
        </w:rPr>
        <w:t xml:space="preserve"> </w:t>
      </w:r>
      <w:r w:rsidR="00DB2C4E" w:rsidRPr="00D50A11">
        <w:rPr>
          <w:rFonts w:ascii="Arial" w:hAnsi="Arial"/>
          <w:sz w:val="22"/>
        </w:rPr>
        <w:t xml:space="preserve">have set forth various </w:t>
      </w:r>
      <w:r w:rsidRPr="00D50A11">
        <w:rPr>
          <w:rFonts w:ascii="Arial" w:hAnsi="Arial"/>
          <w:sz w:val="22"/>
        </w:rPr>
        <w:t>procedures in the Procedural Manual</w:t>
      </w:r>
      <w:r w:rsidR="00F61856" w:rsidRPr="00D50A11">
        <w:rPr>
          <w:rFonts w:ascii="Arial" w:hAnsi="Arial"/>
          <w:sz w:val="22"/>
        </w:rPr>
        <w:t xml:space="preserve"> </w:t>
      </w:r>
      <w:r w:rsidR="00DB2C4E" w:rsidRPr="00D50A11">
        <w:rPr>
          <w:rFonts w:ascii="Arial" w:hAnsi="Arial"/>
          <w:sz w:val="22"/>
        </w:rPr>
        <w:t>(</w:t>
      </w:r>
      <w:r w:rsidR="00F61856" w:rsidRPr="00D50A11">
        <w:rPr>
          <w:rFonts w:ascii="Arial" w:hAnsi="Arial"/>
          <w:sz w:val="22"/>
        </w:rPr>
        <w:t xml:space="preserve">see Section </w:t>
      </w:r>
      <w:r w:rsidR="00F61856" w:rsidRPr="00867B03">
        <w:rPr>
          <w:rFonts w:ascii="Arial" w:hAnsi="Arial"/>
          <w:sz w:val="22"/>
        </w:rPr>
        <w:t>VII(B</w:t>
      </w:r>
      <w:r w:rsidR="00F61856" w:rsidRPr="00D50A11">
        <w:rPr>
          <w:rFonts w:ascii="Arial" w:hAnsi="Arial"/>
          <w:b/>
          <w:sz w:val="22"/>
        </w:rPr>
        <w:t>)</w:t>
      </w:r>
      <w:r w:rsidRPr="00D50A11">
        <w:rPr>
          <w:rFonts w:ascii="Arial" w:hAnsi="Arial"/>
          <w:b/>
          <w:sz w:val="22"/>
        </w:rPr>
        <w:t>,</w:t>
      </w:r>
      <w:r w:rsidRPr="00D50A11">
        <w:rPr>
          <w:rFonts w:ascii="Arial" w:hAnsi="Arial"/>
          <w:sz w:val="22"/>
        </w:rPr>
        <w:t xml:space="preserve"> or supplements thereto</w:t>
      </w:r>
      <w:r w:rsidR="00DB2C4E" w:rsidRPr="00D50A11">
        <w:rPr>
          <w:rFonts w:ascii="Arial" w:hAnsi="Arial"/>
          <w:sz w:val="22"/>
        </w:rPr>
        <w:t>)</w:t>
      </w:r>
      <w:r w:rsidRPr="00D50A11">
        <w:rPr>
          <w:rFonts w:ascii="Arial" w:hAnsi="Arial"/>
          <w:sz w:val="22"/>
        </w:rPr>
        <w:t xml:space="preserve">, for reviewing </w:t>
      </w:r>
      <w:r w:rsidR="00DB2C4E" w:rsidRPr="00D50A11">
        <w:rPr>
          <w:rFonts w:ascii="Arial" w:hAnsi="Arial"/>
          <w:sz w:val="22"/>
        </w:rPr>
        <w:t>A</w:t>
      </w:r>
      <w:r w:rsidRPr="00D50A11">
        <w:rPr>
          <w:rFonts w:ascii="Arial" w:hAnsi="Arial"/>
          <w:sz w:val="22"/>
        </w:rPr>
        <w:t xml:space="preserve">pplications </w:t>
      </w:r>
      <w:r w:rsidR="00DB2C4E" w:rsidRPr="00D50A11">
        <w:rPr>
          <w:rFonts w:ascii="Arial" w:hAnsi="Arial"/>
          <w:sz w:val="22"/>
        </w:rPr>
        <w:t>for the allocation of 4% HTCs in connection with the issuance of tax-exem</w:t>
      </w:r>
      <w:r w:rsidR="00867B03">
        <w:rPr>
          <w:rFonts w:ascii="Arial" w:hAnsi="Arial"/>
          <w:sz w:val="22"/>
        </w:rPr>
        <w:t>pt bonds pursuant to Section 142</w:t>
      </w:r>
      <w:r w:rsidR="00DB2C4E" w:rsidRPr="00D50A11">
        <w:rPr>
          <w:rFonts w:ascii="Arial" w:hAnsi="Arial"/>
          <w:sz w:val="22"/>
        </w:rPr>
        <w:t xml:space="preserve"> of the Code.  </w:t>
      </w:r>
      <w:r w:rsidR="00C32F8E">
        <w:rPr>
          <w:rFonts w:ascii="Arial" w:hAnsi="Arial"/>
          <w:sz w:val="22"/>
        </w:rPr>
        <w:t xml:space="preserve">Refer to Section VII of the HTC Procedural Manual for Application requirements. </w:t>
      </w:r>
      <w:r w:rsidR="0065043D" w:rsidRPr="00D50A11">
        <w:rPr>
          <w:rFonts w:ascii="Arial" w:hAnsi="Arial"/>
          <w:sz w:val="22"/>
        </w:rPr>
        <w:t>T</w:t>
      </w:r>
      <w:r w:rsidRPr="00D50A11">
        <w:rPr>
          <w:rFonts w:ascii="Arial" w:hAnsi="Arial"/>
          <w:sz w:val="22"/>
        </w:rPr>
        <w:t xml:space="preserve">he requirements </w:t>
      </w:r>
      <w:r w:rsidR="003B4470" w:rsidRPr="00D50A11">
        <w:rPr>
          <w:rFonts w:ascii="Arial" w:hAnsi="Arial"/>
          <w:sz w:val="22"/>
        </w:rPr>
        <w:t xml:space="preserve">set forth </w:t>
      </w:r>
      <w:r w:rsidRPr="00D50A11">
        <w:rPr>
          <w:rFonts w:ascii="Arial" w:hAnsi="Arial"/>
          <w:sz w:val="22"/>
        </w:rPr>
        <w:t xml:space="preserve">in </w:t>
      </w:r>
      <w:r w:rsidR="003B4470" w:rsidRPr="00867B03">
        <w:rPr>
          <w:rFonts w:ascii="Arial" w:hAnsi="Arial"/>
          <w:sz w:val="22"/>
        </w:rPr>
        <w:t>Article VII</w:t>
      </w:r>
      <w:r w:rsidRPr="00867B03">
        <w:rPr>
          <w:rFonts w:ascii="Arial" w:hAnsi="Arial"/>
          <w:sz w:val="22"/>
        </w:rPr>
        <w:t xml:space="preserve"> C</w:t>
      </w:r>
      <w:r w:rsidR="003B4470" w:rsidRPr="00867B03">
        <w:rPr>
          <w:rFonts w:ascii="Arial" w:hAnsi="Arial"/>
          <w:sz w:val="22"/>
        </w:rPr>
        <w:t>. of this</w:t>
      </w:r>
      <w:r w:rsidR="003B4470" w:rsidRPr="00D50A11">
        <w:rPr>
          <w:rFonts w:ascii="Arial" w:hAnsi="Arial"/>
          <w:b/>
          <w:sz w:val="22"/>
        </w:rPr>
        <w:t xml:space="preserve"> </w:t>
      </w:r>
      <w:r w:rsidR="00245B69" w:rsidRPr="00D50A11">
        <w:rPr>
          <w:rFonts w:ascii="Arial" w:hAnsi="Arial"/>
          <w:sz w:val="22"/>
        </w:rPr>
        <w:t>QAP</w:t>
      </w:r>
      <w:r w:rsidR="005A5AE0" w:rsidRPr="00D50A11">
        <w:rPr>
          <w:rFonts w:ascii="Arial" w:hAnsi="Arial"/>
          <w:b/>
          <w:sz w:val="22"/>
        </w:rPr>
        <w:t xml:space="preserve"> </w:t>
      </w:r>
      <w:r w:rsidR="00867B03">
        <w:rPr>
          <w:rFonts w:ascii="Arial" w:hAnsi="Arial"/>
          <w:sz w:val="22"/>
        </w:rPr>
        <w:t xml:space="preserve">do </w:t>
      </w:r>
      <w:r w:rsidR="0065043D" w:rsidRPr="00D50A11">
        <w:rPr>
          <w:rFonts w:ascii="Arial" w:hAnsi="Arial"/>
          <w:sz w:val="22"/>
        </w:rPr>
        <w:t>not</w:t>
      </w:r>
      <w:r w:rsidRPr="00D50A11">
        <w:rPr>
          <w:rFonts w:ascii="Arial" w:hAnsi="Arial"/>
          <w:sz w:val="22"/>
        </w:rPr>
        <w:t xml:space="preserve"> apply to such projects.</w:t>
      </w:r>
      <w:r w:rsidR="000747E0" w:rsidRPr="00D50A11">
        <w:rPr>
          <w:rFonts w:ascii="Arial" w:hAnsi="Arial"/>
          <w:sz w:val="22"/>
        </w:rPr>
        <w:t xml:space="preserve"> </w:t>
      </w:r>
      <w:r w:rsidR="00F75B0B">
        <w:rPr>
          <w:rFonts w:ascii="Arial" w:hAnsi="Arial"/>
          <w:sz w:val="22"/>
        </w:rPr>
        <w:t xml:space="preserve">The proposed project must comply with the QAP that is in effect at the time Tax-Exempt Housing Revenue Bonds are issued sufficient, together with any Tax-Exempt Housing Revenue Bonds issued previously for the same project, to finance at least 50% of the aggregate basis of the building(s) and land it is located on. </w:t>
      </w:r>
      <w:r w:rsidR="000747E0" w:rsidRPr="00D50A11">
        <w:rPr>
          <w:rFonts w:ascii="Arial" w:hAnsi="Arial"/>
          <w:sz w:val="22"/>
        </w:rPr>
        <w:t xml:space="preserve"> </w:t>
      </w:r>
    </w:p>
    <w:p w14:paraId="6C9B4D3C" w14:textId="77777777" w:rsidR="00F85BBC" w:rsidRDefault="00F85BBC">
      <w:pPr>
        <w:rPr>
          <w:rFonts w:ascii="Arial" w:hAnsi="Arial"/>
          <w:sz w:val="22"/>
        </w:rPr>
      </w:pPr>
    </w:p>
    <w:p w14:paraId="6F622C97" w14:textId="77777777" w:rsidR="0048130B" w:rsidRDefault="0048130B">
      <w:pPr>
        <w:rPr>
          <w:rFonts w:ascii="Arial" w:hAnsi="Arial"/>
          <w:sz w:val="22"/>
        </w:rPr>
      </w:pPr>
    </w:p>
    <w:p w14:paraId="245584B6" w14:textId="77777777" w:rsidR="00043EEF" w:rsidRDefault="003B4470">
      <w:pPr>
        <w:jc w:val="center"/>
        <w:rPr>
          <w:rFonts w:ascii="Arial" w:hAnsi="Arial"/>
          <w:b/>
          <w:sz w:val="22"/>
        </w:rPr>
      </w:pPr>
      <w:r>
        <w:rPr>
          <w:rFonts w:ascii="Arial" w:hAnsi="Arial"/>
          <w:b/>
          <w:sz w:val="22"/>
        </w:rPr>
        <w:t>ARTICLE IX</w:t>
      </w:r>
    </w:p>
    <w:p w14:paraId="7FD0EFB0" w14:textId="77777777" w:rsidR="00043EEF" w:rsidRDefault="00043EEF">
      <w:pPr>
        <w:jc w:val="center"/>
        <w:rPr>
          <w:rFonts w:ascii="Arial" w:hAnsi="Arial"/>
          <w:b/>
          <w:sz w:val="22"/>
        </w:rPr>
      </w:pPr>
      <w:r>
        <w:rPr>
          <w:rFonts w:ascii="Arial" w:hAnsi="Arial"/>
          <w:b/>
          <w:sz w:val="22"/>
        </w:rPr>
        <w:t>Compliance Monitoring</w:t>
      </w:r>
    </w:p>
    <w:p w14:paraId="0D882E46" w14:textId="77777777" w:rsidR="00503DFD" w:rsidRDefault="00503DFD">
      <w:pPr>
        <w:rPr>
          <w:rFonts w:ascii="Arial" w:hAnsi="Arial"/>
          <w:sz w:val="22"/>
        </w:rPr>
      </w:pPr>
    </w:p>
    <w:p w14:paraId="3C63E64E" w14:textId="77777777" w:rsidR="00043EEF" w:rsidRDefault="00503DFD">
      <w:pPr>
        <w:tabs>
          <w:tab w:val="left" w:pos="720"/>
        </w:tabs>
        <w:rPr>
          <w:rFonts w:ascii="Arial" w:hAnsi="Arial"/>
          <w:sz w:val="22"/>
          <w:u w:val="single"/>
        </w:rPr>
      </w:pPr>
      <w:r>
        <w:rPr>
          <w:rFonts w:ascii="Arial" w:hAnsi="Arial"/>
          <w:sz w:val="22"/>
        </w:rPr>
        <w:tab/>
      </w:r>
      <w:r w:rsidR="002A5AE7">
        <w:rPr>
          <w:rFonts w:ascii="Arial" w:hAnsi="Arial"/>
          <w:sz w:val="22"/>
        </w:rPr>
        <w:t>A.</w:t>
      </w:r>
      <w:r w:rsidR="002A5AE7">
        <w:rPr>
          <w:rFonts w:ascii="Arial" w:hAnsi="Arial"/>
          <w:sz w:val="22"/>
        </w:rPr>
        <w:tab/>
      </w:r>
      <w:r w:rsidR="00043EEF">
        <w:rPr>
          <w:rFonts w:ascii="Arial" w:hAnsi="Arial"/>
          <w:sz w:val="22"/>
          <w:u w:val="single"/>
        </w:rPr>
        <w:t>Statutory Requirements</w:t>
      </w:r>
    </w:p>
    <w:p w14:paraId="5F8724FC" w14:textId="77777777" w:rsidR="00043EEF" w:rsidRDefault="00043EEF">
      <w:pPr>
        <w:rPr>
          <w:rFonts w:ascii="Arial" w:hAnsi="Arial"/>
          <w:sz w:val="22"/>
        </w:rPr>
      </w:pPr>
    </w:p>
    <w:p w14:paraId="5EA2D1E7" w14:textId="6E183677" w:rsidR="00043EEF" w:rsidRDefault="00043EEF" w:rsidP="003B4470">
      <w:pPr>
        <w:pStyle w:val="BodyText"/>
        <w:tabs>
          <w:tab w:val="clear" w:pos="1260"/>
          <w:tab w:val="left" w:pos="720"/>
        </w:tabs>
        <w:jc w:val="both"/>
        <w:rPr>
          <w:rFonts w:ascii="Arial" w:hAnsi="Arial"/>
          <w:sz w:val="22"/>
        </w:rPr>
      </w:pPr>
      <w:r>
        <w:rPr>
          <w:rFonts w:ascii="Arial" w:hAnsi="Arial"/>
          <w:sz w:val="22"/>
        </w:rPr>
        <w:tab/>
      </w:r>
      <w:r w:rsidR="00D24146" w:rsidRPr="00D24146">
        <w:rPr>
          <w:rFonts w:ascii="Arial" w:hAnsi="Arial"/>
          <w:sz w:val="22"/>
        </w:rPr>
        <w:t xml:space="preserve">Pursuant to Section 42 </w:t>
      </w:r>
      <w:r w:rsidR="00245B69">
        <w:rPr>
          <w:rFonts w:ascii="Arial" w:hAnsi="Arial"/>
          <w:sz w:val="22"/>
        </w:rPr>
        <w:t xml:space="preserve">of the Code, the Board, as an </w:t>
      </w:r>
      <w:r w:rsidR="00D24146" w:rsidRPr="00D24146">
        <w:rPr>
          <w:rFonts w:ascii="Arial" w:hAnsi="Arial"/>
          <w:sz w:val="22"/>
        </w:rPr>
        <w:t>HTC allocating agency, is required to provide procedures for monitoring projects for compliance</w:t>
      </w:r>
      <w:r w:rsidR="00245B69">
        <w:rPr>
          <w:rFonts w:ascii="Arial" w:hAnsi="Arial"/>
          <w:sz w:val="22"/>
        </w:rPr>
        <w:t xml:space="preserve"> with the requirements of the </w:t>
      </w:r>
      <w:r w:rsidR="00D24146" w:rsidRPr="00D24146">
        <w:rPr>
          <w:rFonts w:ascii="Arial" w:hAnsi="Arial"/>
          <w:sz w:val="22"/>
        </w:rPr>
        <w:t>HTC Program and for notifying the Internal Revenue Service (“IRS”) of any non-compliance.</w:t>
      </w:r>
      <w:r w:rsidR="0027069F">
        <w:rPr>
          <w:rFonts w:ascii="Arial" w:hAnsi="Arial"/>
          <w:sz w:val="22"/>
        </w:rPr>
        <w:t xml:space="preserve"> The Procedural Manual</w:t>
      </w:r>
      <w:r w:rsidR="002A5AE7">
        <w:rPr>
          <w:rFonts w:ascii="Arial" w:hAnsi="Arial"/>
          <w:sz w:val="22"/>
        </w:rPr>
        <w:t xml:space="preserve"> and Compliance </w:t>
      </w:r>
      <w:r w:rsidR="000D4AF2">
        <w:rPr>
          <w:rFonts w:ascii="Arial" w:hAnsi="Arial"/>
          <w:sz w:val="22"/>
        </w:rPr>
        <w:t>Manual</w:t>
      </w:r>
      <w:r w:rsidR="00AD24CE">
        <w:rPr>
          <w:rFonts w:ascii="Arial" w:hAnsi="Arial"/>
          <w:sz w:val="22"/>
        </w:rPr>
        <w:t xml:space="preserve"> </w:t>
      </w:r>
      <w:r>
        <w:rPr>
          <w:rFonts w:ascii="Arial" w:hAnsi="Arial"/>
          <w:sz w:val="22"/>
        </w:rPr>
        <w:t>include</w:t>
      </w:r>
      <w:r w:rsidR="00775548">
        <w:rPr>
          <w:rFonts w:ascii="Arial" w:hAnsi="Arial"/>
          <w:sz w:val="22"/>
        </w:rPr>
        <w:t>s</w:t>
      </w:r>
      <w:r>
        <w:rPr>
          <w:rFonts w:ascii="Arial" w:hAnsi="Arial"/>
          <w:sz w:val="22"/>
        </w:rPr>
        <w:t xml:space="preserve"> </w:t>
      </w:r>
      <w:r w:rsidR="003B4470">
        <w:rPr>
          <w:rFonts w:ascii="Arial" w:hAnsi="Arial"/>
          <w:sz w:val="22"/>
        </w:rPr>
        <w:t xml:space="preserve">those </w:t>
      </w:r>
      <w:r>
        <w:rPr>
          <w:rFonts w:ascii="Arial" w:hAnsi="Arial"/>
          <w:sz w:val="22"/>
        </w:rPr>
        <w:t xml:space="preserve">provisions for monitoring compliance as are required by the Code or as are determined to be reasonably necessary by the </w:t>
      </w:r>
      <w:r w:rsidR="00AD24CE">
        <w:rPr>
          <w:rFonts w:ascii="Arial" w:hAnsi="Arial"/>
          <w:sz w:val="22"/>
        </w:rPr>
        <w:t>Board’s compliance monitoring agent to enforce those</w:t>
      </w:r>
      <w:r>
        <w:rPr>
          <w:rFonts w:ascii="Arial" w:hAnsi="Arial"/>
          <w:sz w:val="22"/>
        </w:rPr>
        <w:t xml:space="preserve"> provisions.</w:t>
      </w:r>
    </w:p>
    <w:p w14:paraId="275B7C83" w14:textId="77777777" w:rsidR="00043EEF" w:rsidRDefault="00043EEF">
      <w:pPr>
        <w:rPr>
          <w:rFonts w:ascii="Arial" w:hAnsi="Arial"/>
          <w:sz w:val="22"/>
        </w:rPr>
      </w:pPr>
    </w:p>
    <w:p w14:paraId="7BC46F26" w14:textId="77777777" w:rsidR="00043EEF" w:rsidRPr="00D24146" w:rsidRDefault="00043EEF">
      <w:pPr>
        <w:tabs>
          <w:tab w:val="left" w:pos="720"/>
        </w:tabs>
        <w:rPr>
          <w:rFonts w:ascii="Arial" w:hAnsi="Arial"/>
          <w:b/>
          <w:sz w:val="22"/>
        </w:rPr>
      </w:pPr>
      <w:r>
        <w:rPr>
          <w:rFonts w:ascii="Arial" w:hAnsi="Arial"/>
          <w:sz w:val="22"/>
        </w:rPr>
        <w:tab/>
        <w:t>The Board will require that all Declarations i</w:t>
      </w:r>
      <w:r w:rsidR="00AD24CE">
        <w:rPr>
          <w:rFonts w:ascii="Arial" w:hAnsi="Arial"/>
          <w:sz w:val="22"/>
        </w:rPr>
        <w:t>nclude the following provisions:</w:t>
      </w:r>
      <w:r w:rsidR="00D24146">
        <w:rPr>
          <w:rFonts w:ascii="Arial" w:hAnsi="Arial"/>
          <w:sz w:val="22"/>
        </w:rPr>
        <w:t xml:space="preserve"> </w:t>
      </w:r>
    </w:p>
    <w:p w14:paraId="39E90289" w14:textId="77777777" w:rsidR="00043EEF" w:rsidRDefault="00043EEF">
      <w:pPr>
        <w:rPr>
          <w:rFonts w:ascii="Arial" w:hAnsi="Arial"/>
          <w:sz w:val="22"/>
        </w:rPr>
      </w:pPr>
    </w:p>
    <w:p w14:paraId="3B1313D1" w14:textId="77777777" w:rsidR="00043EEF" w:rsidRDefault="00503DFD">
      <w:pPr>
        <w:tabs>
          <w:tab w:val="left" w:pos="720"/>
        </w:tabs>
        <w:rPr>
          <w:rFonts w:ascii="Arial" w:hAnsi="Arial"/>
          <w:sz w:val="22"/>
          <w:u w:val="single"/>
        </w:rPr>
      </w:pPr>
      <w:r>
        <w:rPr>
          <w:rFonts w:ascii="Arial" w:hAnsi="Arial"/>
          <w:sz w:val="22"/>
        </w:rPr>
        <w:tab/>
      </w:r>
      <w:r w:rsidR="002A5AE7">
        <w:rPr>
          <w:rFonts w:ascii="Arial" w:hAnsi="Arial"/>
          <w:sz w:val="22"/>
        </w:rPr>
        <w:t>B.</w:t>
      </w:r>
      <w:r w:rsidR="002A5AE7">
        <w:rPr>
          <w:rFonts w:ascii="Arial" w:hAnsi="Arial"/>
          <w:sz w:val="22"/>
        </w:rPr>
        <w:tab/>
      </w:r>
      <w:r w:rsidR="00043EEF">
        <w:rPr>
          <w:rFonts w:ascii="Arial" w:hAnsi="Arial"/>
          <w:sz w:val="22"/>
          <w:u w:val="single"/>
        </w:rPr>
        <w:t>Monitoring Procedure</w:t>
      </w:r>
    </w:p>
    <w:p w14:paraId="65EC0ECB" w14:textId="77777777" w:rsidR="00E21788" w:rsidRDefault="00E21788">
      <w:pPr>
        <w:tabs>
          <w:tab w:val="left" w:pos="720"/>
        </w:tabs>
        <w:rPr>
          <w:rFonts w:ascii="Arial" w:hAnsi="Arial"/>
          <w:sz w:val="22"/>
          <w:u w:val="single"/>
        </w:rPr>
      </w:pPr>
    </w:p>
    <w:p w14:paraId="2C0061BB" w14:textId="77777777" w:rsidR="00043EEF" w:rsidRDefault="00043EEF" w:rsidP="00B95EDF">
      <w:pPr>
        <w:tabs>
          <w:tab w:val="decimal" w:pos="810"/>
          <w:tab w:val="left" w:pos="1440"/>
          <w:tab w:val="left" w:pos="2160"/>
        </w:tabs>
        <w:rPr>
          <w:rFonts w:ascii="Arial" w:hAnsi="Arial"/>
          <w:sz w:val="22"/>
        </w:rPr>
      </w:pPr>
      <w:r>
        <w:rPr>
          <w:rFonts w:ascii="Arial" w:hAnsi="Arial"/>
          <w:sz w:val="22"/>
        </w:rPr>
        <w:tab/>
      </w:r>
      <w:r w:rsidR="00B95EDF">
        <w:rPr>
          <w:rFonts w:ascii="Arial" w:hAnsi="Arial"/>
          <w:sz w:val="22"/>
        </w:rPr>
        <w:tab/>
        <w:t>(1)</w:t>
      </w:r>
      <w:r w:rsidR="00B95EDF">
        <w:rPr>
          <w:rFonts w:ascii="Arial" w:hAnsi="Arial"/>
          <w:sz w:val="22"/>
        </w:rPr>
        <w:tab/>
      </w:r>
      <w:r>
        <w:rPr>
          <w:rFonts w:ascii="Arial" w:hAnsi="Arial"/>
          <w:sz w:val="22"/>
        </w:rPr>
        <w:t>Recordkeeping and Retention</w:t>
      </w:r>
    </w:p>
    <w:p w14:paraId="25B21090" w14:textId="77777777" w:rsidR="00043EEF" w:rsidRDefault="00043EEF">
      <w:pPr>
        <w:rPr>
          <w:rFonts w:ascii="Arial" w:hAnsi="Arial"/>
          <w:sz w:val="22"/>
        </w:rPr>
      </w:pPr>
    </w:p>
    <w:p w14:paraId="3B321EAF" w14:textId="77777777" w:rsidR="00043EEF" w:rsidRDefault="00043EEF" w:rsidP="00B95EDF">
      <w:pPr>
        <w:pStyle w:val="BodyText"/>
        <w:tabs>
          <w:tab w:val="clear" w:pos="720"/>
          <w:tab w:val="clear" w:pos="1260"/>
          <w:tab w:val="left" w:pos="2160"/>
        </w:tabs>
        <w:rPr>
          <w:rFonts w:ascii="Arial" w:hAnsi="Arial"/>
          <w:sz w:val="22"/>
        </w:rPr>
      </w:pPr>
      <w:r>
        <w:rPr>
          <w:rFonts w:ascii="Arial" w:hAnsi="Arial"/>
          <w:sz w:val="22"/>
        </w:rPr>
        <w:tab/>
      </w:r>
      <w:r w:rsidR="00B95EDF">
        <w:rPr>
          <w:rFonts w:ascii="Arial" w:hAnsi="Arial"/>
          <w:sz w:val="22"/>
        </w:rPr>
        <w:t>(a)</w:t>
      </w:r>
      <w:r w:rsidR="00B95EDF">
        <w:rPr>
          <w:rFonts w:ascii="Arial" w:hAnsi="Arial"/>
          <w:sz w:val="22"/>
        </w:rPr>
        <w:tab/>
      </w:r>
      <w:r>
        <w:rPr>
          <w:rFonts w:ascii="Arial" w:hAnsi="Arial"/>
          <w:sz w:val="22"/>
        </w:rPr>
        <w:t>Records Required</w:t>
      </w:r>
    </w:p>
    <w:p w14:paraId="0CCFE629" w14:textId="77777777" w:rsidR="00043EEF" w:rsidRDefault="00043EEF">
      <w:pPr>
        <w:rPr>
          <w:rFonts w:ascii="Arial" w:hAnsi="Arial"/>
          <w:sz w:val="22"/>
        </w:rPr>
      </w:pPr>
    </w:p>
    <w:p w14:paraId="1EBD6A6B" w14:textId="77777777" w:rsidR="00043EEF" w:rsidRDefault="00B95EDF" w:rsidP="00B95EDF">
      <w:pPr>
        <w:ind w:left="2160" w:hanging="810"/>
        <w:jc w:val="both"/>
        <w:rPr>
          <w:rFonts w:ascii="Arial" w:hAnsi="Arial"/>
          <w:sz w:val="22"/>
        </w:rPr>
      </w:pPr>
      <w:r>
        <w:rPr>
          <w:rFonts w:ascii="Arial" w:hAnsi="Arial"/>
          <w:sz w:val="22"/>
        </w:rPr>
        <w:tab/>
      </w:r>
      <w:r>
        <w:rPr>
          <w:rFonts w:ascii="Arial" w:hAnsi="Arial"/>
          <w:sz w:val="22"/>
        </w:rPr>
        <w:tab/>
      </w:r>
      <w:r w:rsidR="00D24146">
        <w:rPr>
          <w:rFonts w:ascii="Arial" w:hAnsi="Arial"/>
          <w:sz w:val="22"/>
        </w:rPr>
        <w:t>The o</w:t>
      </w:r>
      <w:r w:rsidR="00043EEF">
        <w:rPr>
          <w:rFonts w:ascii="Arial" w:hAnsi="Arial"/>
          <w:sz w:val="22"/>
        </w:rPr>
        <w:t xml:space="preserve">wner </w:t>
      </w:r>
      <w:r w:rsidR="00867B03">
        <w:rPr>
          <w:rFonts w:ascii="Arial" w:hAnsi="Arial"/>
          <w:sz w:val="22"/>
        </w:rPr>
        <w:t xml:space="preserve">for each year of the 15-year compliance period </w:t>
      </w:r>
      <w:r w:rsidR="00043EEF">
        <w:rPr>
          <w:rFonts w:ascii="Arial" w:hAnsi="Arial"/>
          <w:sz w:val="22"/>
        </w:rPr>
        <w:t>will be required to keep records for each qualified low income building in the project.  Such records must show at a minimum:</w:t>
      </w:r>
    </w:p>
    <w:p w14:paraId="63A85533" w14:textId="77777777" w:rsidR="00043EEF" w:rsidRDefault="00043EEF">
      <w:pPr>
        <w:rPr>
          <w:rFonts w:ascii="Arial" w:hAnsi="Arial"/>
          <w:sz w:val="22"/>
        </w:rPr>
      </w:pPr>
    </w:p>
    <w:p w14:paraId="4BD9668F" w14:textId="77777777" w:rsidR="00B95EDF" w:rsidRDefault="00043EEF" w:rsidP="00B95EDF">
      <w:pPr>
        <w:ind w:left="2880" w:hanging="1440"/>
        <w:jc w:val="both"/>
        <w:rPr>
          <w:rFonts w:ascii="Arial" w:hAnsi="Arial"/>
          <w:sz w:val="22"/>
        </w:rPr>
      </w:pPr>
      <w:r>
        <w:rPr>
          <w:rFonts w:ascii="Arial" w:hAnsi="Arial"/>
          <w:sz w:val="22"/>
        </w:rPr>
        <w:tab/>
        <w:t>(</w:t>
      </w:r>
      <w:proofErr w:type="spellStart"/>
      <w:r>
        <w:rPr>
          <w:rFonts w:ascii="Arial" w:hAnsi="Arial"/>
          <w:sz w:val="22"/>
        </w:rPr>
        <w:t>i</w:t>
      </w:r>
      <w:proofErr w:type="spellEnd"/>
      <w:r>
        <w:rPr>
          <w:rFonts w:ascii="Arial" w:hAnsi="Arial"/>
          <w:sz w:val="22"/>
        </w:rPr>
        <w:t>)</w:t>
      </w:r>
      <w:r>
        <w:rPr>
          <w:rFonts w:ascii="Arial" w:hAnsi="Arial"/>
          <w:sz w:val="22"/>
        </w:rPr>
        <w:tab/>
        <w:t>The total number of residential rental units in the building (including the number of bedrooms and the size in square feet of each residential unit</w:t>
      </w:r>
      <w:proofErr w:type="gramStart"/>
      <w:r>
        <w:rPr>
          <w:rFonts w:ascii="Arial" w:hAnsi="Arial"/>
          <w:sz w:val="22"/>
        </w:rPr>
        <w:t>);</w:t>
      </w:r>
      <w:proofErr w:type="gramEnd"/>
    </w:p>
    <w:p w14:paraId="6E405E67" w14:textId="77777777" w:rsidR="00AE1889" w:rsidRDefault="00AE1889" w:rsidP="00B95EDF">
      <w:pPr>
        <w:ind w:left="2880" w:hanging="1440"/>
        <w:jc w:val="both"/>
        <w:rPr>
          <w:rFonts w:ascii="Arial" w:hAnsi="Arial"/>
          <w:sz w:val="22"/>
        </w:rPr>
      </w:pPr>
    </w:p>
    <w:p w14:paraId="3672892F" w14:textId="77777777" w:rsidR="00B95EDF" w:rsidRDefault="00043EEF" w:rsidP="00B95EDF">
      <w:pPr>
        <w:ind w:left="2880" w:hanging="1440"/>
        <w:jc w:val="both"/>
        <w:rPr>
          <w:rFonts w:ascii="Arial" w:hAnsi="Arial"/>
          <w:sz w:val="22"/>
        </w:rPr>
      </w:pPr>
      <w:r>
        <w:rPr>
          <w:rFonts w:ascii="Arial" w:hAnsi="Arial"/>
          <w:sz w:val="22"/>
        </w:rPr>
        <w:tab/>
        <w:t>(ii)</w:t>
      </w:r>
      <w:r>
        <w:rPr>
          <w:rFonts w:ascii="Arial" w:hAnsi="Arial"/>
          <w:sz w:val="22"/>
        </w:rPr>
        <w:tab/>
        <w:t xml:space="preserve">The percentage of residential rental units in the building that are </w:t>
      </w:r>
      <w:r w:rsidR="00220CCE">
        <w:rPr>
          <w:rFonts w:ascii="Arial" w:hAnsi="Arial"/>
          <w:sz w:val="22"/>
        </w:rPr>
        <w:t>HTC</w:t>
      </w:r>
      <w:r w:rsidR="00867B03">
        <w:rPr>
          <w:rFonts w:ascii="Arial" w:hAnsi="Arial"/>
          <w:sz w:val="22"/>
        </w:rPr>
        <w:t xml:space="preserve"> </w:t>
      </w:r>
      <w:proofErr w:type="gramStart"/>
      <w:r w:rsidR="00867B03">
        <w:rPr>
          <w:rFonts w:ascii="Arial" w:hAnsi="Arial"/>
          <w:sz w:val="22"/>
        </w:rPr>
        <w:t>units</w:t>
      </w:r>
      <w:r w:rsidRPr="00353919">
        <w:rPr>
          <w:rFonts w:ascii="Arial" w:hAnsi="Arial"/>
          <w:sz w:val="22"/>
        </w:rPr>
        <w:t>;</w:t>
      </w:r>
      <w:proofErr w:type="gramEnd"/>
    </w:p>
    <w:p w14:paraId="63059BFA" w14:textId="77777777" w:rsidR="00B95EDF" w:rsidRDefault="00B95EDF" w:rsidP="00B95EDF">
      <w:pPr>
        <w:ind w:left="2880" w:hanging="1440"/>
        <w:jc w:val="both"/>
        <w:rPr>
          <w:rFonts w:ascii="Arial" w:hAnsi="Arial"/>
          <w:sz w:val="22"/>
        </w:rPr>
      </w:pPr>
    </w:p>
    <w:p w14:paraId="693D9FBB" w14:textId="77777777" w:rsidR="00B95EDF" w:rsidRDefault="00043EEF" w:rsidP="00B95EDF">
      <w:pPr>
        <w:ind w:left="2880" w:hanging="1440"/>
        <w:jc w:val="both"/>
        <w:rPr>
          <w:rFonts w:ascii="Arial" w:hAnsi="Arial"/>
          <w:sz w:val="22"/>
        </w:rPr>
      </w:pPr>
      <w:r>
        <w:rPr>
          <w:rFonts w:ascii="Arial" w:hAnsi="Arial"/>
          <w:sz w:val="22"/>
        </w:rPr>
        <w:tab/>
        <w:t>(iii)</w:t>
      </w:r>
      <w:r>
        <w:rPr>
          <w:rFonts w:ascii="Arial" w:hAnsi="Arial"/>
          <w:sz w:val="22"/>
        </w:rPr>
        <w:tab/>
        <w:t xml:space="preserve">The rent charged on each residential rental unit in the building (including any utility allowances).  Documentation including rent rolls, leases, and utility allowances per IRS Notice 94-60 issued June, </w:t>
      </w:r>
      <w:proofErr w:type="gramStart"/>
      <w:r>
        <w:rPr>
          <w:rFonts w:ascii="Arial" w:hAnsi="Arial"/>
          <w:sz w:val="22"/>
        </w:rPr>
        <w:t>1994;</w:t>
      </w:r>
      <w:proofErr w:type="gramEnd"/>
    </w:p>
    <w:p w14:paraId="7C25C7EF" w14:textId="77777777" w:rsidR="00B95EDF" w:rsidRDefault="00B95EDF" w:rsidP="00B95EDF">
      <w:pPr>
        <w:ind w:left="2880" w:hanging="1440"/>
        <w:jc w:val="both"/>
        <w:rPr>
          <w:rFonts w:ascii="Arial" w:hAnsi="Arial"/>
          <w:sz w:val="22"/>
        </w:rPr>
      </w:pPr>
    </w:p>
    <w:p w14:paraId="50741775" w14:textId="42B018BB" w:rsidR="00B95EDF" w:rsidRDefault="00043EEF" w:rsidP="00B95EDF">
      <w:pPr>
        <w:ind w:left="2880" w:hanging="1440"/>
        <w:jc w:val="both"/>
        <w:rPr>
          <w:rFonts w:ascii="Arial" w:hAnsi="Arial"/>
          <w:sz w:val="22"/>
        </w:rPr>
      </w:pPr>
      <w:r>
        <w:rPr>
          <w:rFonts w:ascii="Arial" w:hAnsi="Arial"/>
          <w:sz w:val="22"/>
        </w:rPr>
        <w:tab/>
        <w:t>(iv)</w:t>
      </w:r>
      <w:r>
        <w:rPr>
          <w:rFonts w:ascii="Arial" w:hAnsi="Arial"/>
          <w:sz w:val="22"/>
        </w:rPr>
        <w:tab/>
      </w:r>
      <w:r w:rsidR="00867B03">
        <w:rPr>
          <w:rFonts w:ascii="Arial" w:hAnsi="Arial"/>
          <w:sz w:val="22"/>
        </w:rPr>
        <w:t>T</w:t>
      </w:r>
      <w:r>
        <w:rPr>
          <w:rFonts w:ascii="Arial" w:hAnsi="Arial"/>
          <w:sz w:val="22"/>
        </w:rPr>
        <w:t xml:space="preserve">he </w:t>
      </w:r>
      <w:r w:rsidR="00220CCE">
        <w:rPr>
          <w:rFonts w:ascii="Arial" w:hAnsi="Arial"/>
          <w:sz w:val="22"/>
        </w:rPr>
        <w:t>HTC</w:t>
      </w:r>
      <w:r>
        <w:rPr>
          <w:rFonts w:ascii="Arial" w:hAnsi="Arial"/>
          <w:sz w:val="22"/>
        </w:rPr>
        <w:t xml:space="preserve"> unit vacancies in the building and information that shows when, and to whom, the next available units were rented</w:t>
      </w:r>
      <w:r w:rsidR="00C41172">
        <w:rPr>
          <w:rFonts w:ascii="Arial" w:hAnsi="Arial"/>
          <w:sz w:val="22"/>
        </w:rPr>
        <w:t xml:space="preserve">. Information on </w:t>
      </w:r>
      <w:r w:rsidR="00957D4C">
        <w:rPr>
          <w:rFonts w:ascii="Arial" w:hAnsi="Arial"/>
          <w:sz w:val="22"/>
        </w:rPr>
        <w:t xml:space="preserve">HTC unit </w:t>
      </w:r>
      <w:r w:rsidR="00C41172">
        <w:rPr>
          <w:rFonts w:ascii="Arial" w:hAnsi="Arial"/>
          <w:sz w:val="22"/>
        </w:rPr>
        <w:t>vacancies must be retained</w:t>
      </w:r>
      <w:r w:rsidR="00845F80">
        <w:rPr>
          <w:rFonts w:ascii="Arial" w:hAnsi="Arial"/>
          <w:sz w:val="22"/>
        </w:rPr>
        <w:t xml:space="preserve"> and reported on annually</w:t>
      </w:r>
      <w:r w:rsidR="00957D4C">
        <w:rPr>
          <w:rFonts w:ascii="Arial" w:hAnsi="Arial"/>
          <w:sz w:val="22"/>
        </w:rPr>
        <w:t xml:space="preserve"> to the</w:t>
      </w:r>
      <w:r w:rsidR="00F75E4C">
        <w:rPr>
          <w:rFonts w:ascii="Arial" w:hAnsi="Arial"/>
          <w:sz w:val="22"/>
        </w:rPr>
        <w:t xml:space="preserve"> City or</w:t>
      </w:r>
      <w:r w:rsidR="00957D4C">
        <w:rPr>
          <w:rFonts w:ascii="Arial" w:hAnsi="Arial"/>
          <w:sz w:val="22"/>
        </w:rPr>
        <w:t xml:space="preserve"> </w:t>
      </w:r>
      <w:proofErr w:type="gramStart"/>
      <w:r w:rsidR="00957D4C">
        <w:rPr>
          <w:rFonts w:ascii="Arial" w:hAnsi="Arial"/>
          <w:sz w:val="22"/>
        </w:rPr>
        <w:t>Delegate</w:t>
      </w:r>
      <w:r>
        <w:rPr>
          <w:rFonts w:ascii="Arial" w:hAnsi="Arial"/>
          <w:sz w:val="22"/>
        </w:rPr>
        <w:t>;</w:t>
      </w:r>
      <w:proofErr w:type="gramEnd"/>
    </w:p>
    <w:p w14:paraId="10B4B242" w14:textId="77777777" w:rsidR="00B95EDF" w:rsidRDefault="00B95EDF" w:rsidP="00B95EDF">
      <w:pPr>
        <w:ind w:left="2880" w:hanging="1440"/>
        <w:jc w:val="both"/>
        <w:rPr>
          <w:rFonts w:ascii="Arial" w:hAnsi="Arial"/>
          <w:sz w:val="22"/>
        </w:rPr>
      </w:pPr>
    </w:p>
    <w:p w14:paraId="7F273DC7" w14:textId="77777777" w:rsidR="00B95EDF" w:rsidRDefault="00043EEF" w:rsidP="00B95EDF">
      <w:pPr>
        <w:ind w:left="2880" w:hanging="1440"/>
        <w:jc w:val="both"/>
        <w:rPr>
          <w:rFonts w:ascii="Arial" w:hAnsi="Arial"/>
          <w:sz w:val="22"/>
        </w:rPr>
      </w:pPr>
      <w:r>
        <w:rPr>
          <w:rFonts w:ascii="Arial" w:hAnsi="Arial"/>
          <w:sz w:val="22"/>
        </w:rPr>
        <w:tab/>
        <w:t>(vi)</w:t>
      </w:r>
      <w:r>
        <w:rPr>
          <w:rFonts w:ascii="Arial" w:hAnsi="Arial"/>
          <w:sz w:val="22"/>
        </w:rPr>
        <w:tab/>
      </w:r>
      <w:r w:rsidR="00867B03">
        <w:rPr>
          <w:rFonts w:ascii="Arial" w:hAnsi="Arial"/>
          <w:sz w:val="22"/>
        </w:rPr>
        <w:t>For projects with market rate units, t</w:t>
      </w:r>
      <w:r>
        <w:rPr>
          <w:rFonts w:ascii="Arial" w:hAnsi="Arial"/>
          <w:sz w:val="22"/>
        </w:rPr>
        <w:t xml:space="preserve">he annual income certification of each low-income tenant per unit </w:t>
      </w:r>
      <w:r w:rsidR="00867B03">
        <w:rPr>
          <w:rFonts w:ascii="Arial" w:hAnsi="Arial"/>
          <w:sz w:val="22"/>
        </w:rPr>
        <w:t xml:space="preserve">on forms provided by the </w:t>
      </w:r>
      <w:proofErr w:type="gramStart"/>
      <w:r w:rsidR="00867B03">
        <w:rPr>
          <w:rFonts w:ascii="Arial" w:hAnsi="Arial"/>
          <w:sz w:val="22"/>
        </w:rPr>
        <w:t>Board</w:t>
      </w:r>
      <w:r>
        <w:rPr>
          <w:rFonts w:ascii="Arial" w:hAnsi="Arial"/>
          <w:sz w:val="22"/>
        </w:rPr>
        <w:t>;</w:t>
      </w:r>
      <w:proofErr w:type="gramEnd"/>
    </w:p>
    <w:p w14:paraId="1F79F727" w14:textId="77777777" w:rsidR="00B95EDF" w:rsidRDefault="00B95EDF" w:rsidP="00B95EDF">
      <w:pPr>
        <w:ind w:left="2880" w:hanging="1440"/>
        <w:jc w:val="both"/>
        <w:rPr>
          <w:rFonts w:ascii="Arial" w:hAnsi="Arial"/>
          <w:sz w:val="22"/>
        </w:rPr>
      </w:pPr>
    </w:p>
    <w:p w14:paraId="250B5063" w14:textId="3D3C9C82" w:rsidR="00B95EDF" w:rsidRDefault="00043EEF" w:rsidP="00B95EDF">
      <w:pPr>
        <w:ind w:left="2880" w:hanging="1440"/>
        <w:jc w:val="both"/>
        <w:rPr>
          <w:rFonts w:ascii="Arial" w:hAnsi="Arial"/>
          <w:sz w:val="22"/>
        </w:rPr>
      </w:pPr>
      <w:r>
        <w:rPr>
          <w:rFonts w:ascii="Arial" w:hAnsi="Arial"/>
          <w:sz w:val="22"/>
        </w:rPr>
        <w:tab/>
        <w:t>(vii)</w:t>
      </w:r>
      <w:r>
        <w:rPr>
          <w:rFonts w:ascii="Arial" w:hAnsi="Arial"/>
          <w:sz w:val="22"/>
        </w:rPr>
        <w:tab/>
        <w:t xml:space="preserve">Documentation to support each </w:t>
      </w:r>
      <w:r w:rsidR="00220CCE">
        <w:rPr>
          <w:rFonts w:ascii="Arial" w:hAnsi="Arial"/>
          <w:sz w:val="22"/>
        </w:rPr>
        <w:t>HTC</w:t>
      </w:r>
      <w:r>
        <w:rPr>
          <w:rFonts w:ascii="Arial" w:hAnsi="Arial"/>
          <w:sz w:val="22"/>
        </w:rPr>
        <w:t xml:space="preserve"> tenant’s income certification</w:t>
      </w:r>
      <w:r w:rsidR="000F79F8">
        <w:rPr>
          <w:rFonts w:ascii="Arial" w:hAnsi="Arial"/>
          <w:sz w:val="22"/>
        </w:rPr>
        <w:t>.</w:t>
      </w:r>
      <w:r>
        <w:rPr>
          <w:rFonts w:ascii="Arial" w:hAnsi="Arial"/>
          <w:sz w:val="22"/>
        </w:rPr>
        <w:t xml:space="preserve"> </w:t>
      </w:r>
      <w:r w:rsidR="00A1293B" w:rsidRPr="000F79F8">
        <w:rPr>
          <w:rFonts w:ascii="Arial" w:hAnsi="Arial" w:cs="Arial"/>
          <w:sz w:val="22"/>
          <w:szCs w:val="22"/>
        </w:rPr>
        <w:t>Such documentation shall be consistent with that required under Section 8 of the United States Housing Act of 1937 (“Section 8”), Chapter 5 of the HUD Occupancy Requirements of Subsidized Multifamily Housing Programs, related appendices, and the Suballocator Compliance Manual</w:t>
      </w:r>
      <w:r w:rsidR="00957D4C" w:rsidRPr="000F79F8">
        <w:rPr>
          <w:rFonts w:ascii="Arial" w:hAnsi="Arial" w:cs="Arial"/>
          <w:sz w:val="22"/>
          <w:szCs w:val="22"/>
        </w:rPr>
        <w:t xml:space="preserve">, </w:t>
      </w:r>
      <w:r w:rsidRPr="00AD24CE">
        <w:rPr>
          <w:rFonts w:ascii="Arial" w:hAnsi="Arial"/>
          <w:sz w:val="22"/>
          <w:u w:val="single"/>
        </w:rPr>
        <w:t>not</w:t>
      </w:r>
      <w:r>
        <w:rPr>
          <w:rFonts w:ascii="Arial" w:hAnsi="Arial"/>
          <w:sz w:val="22"/>
        </w:rPr>
        <w:t xml:space="preserve"> in accordance with the determination of gross income for federal income tax liability.  In the case of a tenant receiving housing assistance payments under Section 8, the documentation requirement of this paragraph is satisfied if the public housing authority provides a statement to the building owner declaring that the tenant’s income does not exceed the applicable income limit under section </w:t>
      </w:r>
      <w:proofErr w:type="gramStart"/>
      <w:r>
        <w:rPr>
          <w:rFonts w:ascii="Arial" w:hAnsi="Arial"/>
          <w:sz w:val="22"/>
        </w:rPr>
        <w:t>42(g);</w:t>
      </w:r>
      <w:proofErr w:type="gramEnd"/>
    </w:p>
    <w:p w14:paraId="3E17A8CD" w14:textId="77777777" w:rsidR="00B95EDF" w:rsidRDefault="00B95EDF" w:rsidP="00B95EDF">
      <w:pPr>
        <w:ind w:left="2880" w:hanging="1440"/>
        <w:jc w:val="both"/>
        <w:rPr>
          <w:rFonts w:ascii="Arial" w:hAnsi="Arial"/>
          <w:sz w:val="22"/>
        </w:rPr>
      </w:pPr>
    </w:p>
    <w:p w14:paraId="2CB39B36" w14:textId="77777777" w:rsidR="00B95EDF" w:rsidRDefault="00043EEF" w:rsidP="00B95EDF">
      <w:pPr>
        <w:ind w:left="2880" w:hanging="1440"/>
        <w:jc w:val="both"/>
        <w:rPr>
          <w:rFonts w:ascii="Arial" w:hAnsi="Arial"/>
          <w:sz w:val="22"/>
        </w:rPr>
      </w:pPr>
      <w:r>
        <w:rPr>
          <w:rFonts w:ascii="Arial" w:hAnsi="Arial"/>
          <w:sz w:val="22"/>
        </w:rPr>
        <w:tab/>
        <w:t>(viii)</w:t>
      </w:r>
      <w:r>
        <w:rPr>
          <w:rFonts w:ascii="Arial" w:hAnsi="Arial"/>
          <w:sz w:val="22"/>
        </w:rPr>
        <w:tab/>
        <w:t>The eligible basis and qualified basis of the building at the end of the first year of the credit period; and</w:t>
      </w:r>
    </w:p>
    <w:p w14:paraId="01563F30" w14:textId="77777777" w:rsidR="00B95EDF" w:rsidRDefault="00B95EDF" w:rsidP="00B95EDF">
      <w:pPr>
        <w:ind w:left="2880" w:hanging="1440"/>
        <w:jc w:val="both"/>
        <w:rPr>
          <w:rFonts w:ascii="Arial" w:hAnsi="Arial"/>
          <w:sz w:val="22"/>
        </w:rPr>
      </w:pPr>
    </w:p>
    <w:p w14:paraId="64C2BC5F" w14:textId="77777777" w:rsidR="00043EEF" w:rsidRDefault="00043EEF" w:rsidP="00B95EDF">
      <w:pPr>
        <w:ind w:left="2880" w:hanging="1440"/>
        <w:jc w:val="both"/>
        <w:rPr>
          <w:rFonts w:ascii="Arial" w:hAnsi="Arial"/>
          <w:sz w:val="22"/>
        </w:rPr>
      </w:pPr>
      <w:r>
        <w:rPr>
          <w:rFonts w:ascii="Arial" w:hAnsi="Arial"/>
          <w:sz w:val="22"/>
        </w:rPr>
        <w:tab/>
        <w:t>(ix)</w:t>
      </w:r>
      <w:r>
        <w:rPr>
          <w:rFonts w:ascii="Arial" w:hAnsi="Arial"/>
          <w:sz w:val="22"/>
        </w:rPr>
        <w:tab/>
        <w:t>The character and use of the nonresidential portion of the building</w:t>
      </w:r>
      <w:r w:rsidR="00AD24CE">
        <w:rPr>
          <w:rFonts w:ascii="Arial" w:hAnsi="Arial"/>
          <w:sz w:val="22"/>
        </w:rPr>
        <w:t xml:space="preserve"> which is</w:t>
      </w:r>
      <w:r>
        <w:rPr>
          <w:rFonts w:ascii="Arial" w:hAnsi="Arial"/>
          <w:sz w:val="22"/>
        </w:rPr>
        <w:t xml:space="preserve"> included in the building’s eligible basis under </w:t>
      </w:r>
      <w:r w:rsidR="00792C77">
        <w:rPr>
          <w:rFonts w:ascii="Arial" w:hAnsi="Arial"/>
          <w:sz w:val="22"/>
        </w:rPr>
        <w:t>Code S</w:t>
      </w:r>
      <w:r>
        <w:rPr>
          <w:rFonts w:ascii="Arial" w:hAnsi="Arial"/>
          <w:sz w:val="22"/>
        </w:rPr>
        <w:t>ection 42(d)</w:t>
      </w:r>
      <w:r w:rsidR="00792C77">
        <w:rPr>
          <w:rFonts w:ascii="Arial" w:hAnsi="Arial"/>
          <w:sz w:val="22"/>
        </w:rPr>
        <w:t xml:space="preserve"> </w:t>
      </w:r>
      <w:r>
        <w:rPr>
          <w:rFonts w:ascii="Arial" w:hAnsi="Arial"/>
          <w:sz w:val="22"/>
        </w:rPr>
        <w:t>(e.g., tenant facilities that are available on a comparable basis to all tenants and for which no separate fee is charged for use of the facilities, or facilities reasonably required by the project).</w:t>
      </w:r>
    </w:p>
    <w:p w14:paraId="1DC18199" w14:textId="77777777" w:rsidR="00043EEF" w:rsidRDefault="00043EEF" w:rsidP="00AD24CE">
      <w:pPr>
        <w:jc w:val="both"/>
        <w:rPr>
          <w:rFonts w:ascii="Arial" w:hAnsi="Arial"/>
          <w:sz w:val="22"/>
        </w:rPr>
      </w:pPr>
    </w:p>
    <w:p w14:paraId="23959DE8" w14:textId="77777777" w:rsidR="00043EEF" w:rsidRDefault="00043EEF" w:rsidP="00B95EDF">
      <w:pPr>
        <w:pStyle w:val="Heading1"/>
        <w:tabs>
          <w:tab w:val="left" w:pos="2160"/>
          <w:tab w:val="left" w:pos="2880"/>
        </w:tabs>
        <w:rPr>
          <w:rFonts w:ascii="Arial" w:hAnsi="Arial"/>
          <w:sz w:val="22"/>
        </w:rPr>
      </w:pPr>
      <w:r>
        <w:rPr>
          <w:rFonts w:ascii="Arial" w:hAnsi="Arial"/>
          <w:sz w:val="22"/>
        </w:rPr>
        <w:lastRenderedPageBreak/>
        <w:tab/>
      </w:r>
      <w:r w:rsidR="00B95EDF">
        <w:rPr>
          <w:rFonts w:ascii="Arial" w:hAnsi="Arial"/>
          <w:sz w:val="22"/>
        </w:rPr>
        <w:t>(b)</w:t>
      </w:r>
      <w:r w:rsidR="00B95EDF">
        <w:rPr>
          <w:rFonts w:ascii="Arial" w:hAnsi="Arial"/>
          <w:sz w:val="22"/>
        </w:rPr>
        <w:tab/>
      </w:r>
      <w:r>
        <w:rPr>
          <w:rFonts w:ascii="Arial" w:hAnsi="Arial"/>
          <w:sz w:val="22"/>
        </w:rPr>
        <w:t>Retention Policy</w:t>
      </w:r>
    </w:p>
    <w:p w14:paraId="3DD78028" w14:textId="77777777" w:rsidR="00043EEF" w:rsidRDefault="00043EEF">
      <w:pPr>
        <w:rPr>
          <w:rFonts w:ascii="Arial" w:hAnsi="Arial"/>
          <w:sz w:val="22"/>
        </w:rPr>
      </w:pPr>
    </w:p>
    <w:p w14:paraId="0F5C6530" w14:textId="77777777" w:rsidR="00043EEF" w:rsidRDefault="00792C77" w:rsidP="00AE1889">
      <w:pPr>
        <w:ind w:left="2160" w:hanging="720"/>
        <w:jc w:val="both"/>
        <w:rPr>
          <w:rFonts w:ascii="Arial" w:hAnsi="Arial"/>
          <w:sz w:val="22"/>
        </w:rPr>
      </w:pPr>
      <w:r>
        <w:rPr>
          <w:rFonts w:ascii="Arial" w:hAnsi="Arial"/>
          <w:sz w:val="22"/>
        </w:rPr>
        <w:tab/>
      </w:r>
      <w:r w:rsidR="00AE1889">
        <w:rPr>
          <w:rFonts w:ascii="Arial" w:hAnsi="Arial"/>
          <w:sz w:val="22"/>
        </w:rPr>
        <w:tab/>
      </w:r>
      <w:r>
        <w:rPr>
          <w:rFonts w:ascii="Arial" w:hAnsi="Arial"/>
          <w:sz w:val="22"/>
        </w:rPr>
        <w:t>The o</w:t>
      </w:r>
      <w:r w:rsidR="00043EEF">
        <w:rPr>
          <w:rFonts w:ascii="Arial" w:hAnsi="Arial"/>
          <w:sz w:val="22"/>
        </w:rPr>
        <w:t>wner will be required to retain the records for each building in the project for at least six</w:t>
      </w:r>
      <w:r>
        <w:rPr>
          <w:rFonts w:ascii="Arial" w:hAnsi="Arial"/>
          <w:sz w:val="22"/>
        </w:rPr>
        <w:t xml:space="preserve"> (6) </w:t>
      </w:r>
      <w:r w:rsidR="00043EEF">
        <w:rPr>
          <w:rFonts w:ascii="Arial" w:hAnsi="Arial"/>
          <w:sz w:val="22"/>
        </w:rPr>
        <w:t>years after the due date (with extensions) for filing the federal income tax return for that year.  The records for the first year of the credit period, however,</w:t>
      </w:r>
      <w:r>
        <w:rPr>
          <w:rFonts w:ascii="Arial" w:hAnsi="Arial"/>
          <w:sz w:val="22"/>
        </w:rPr>
        <w:t xml:space="preserve"> must be retained for at least six (6)</w:t>
      </w:r>
      <w:r w:rsidR="00043EEF">
        <w:rPr>
          <w:rFonts w:ascii="Arial" w:hAnsi="Arial"/>
          <w:sz w:val="22"/>
        </w:rPr>
        <w:t xml:space="preserve"> years beyond the due date (with extensions) for filing the federal income tax return for the last year of the </w:t>
      </w:r>
      <w:r w:rsidR="00867B03">
        <w:rPr>
          <w:rFonts w:ascii="Arial" w:hAnsi="Arial"/>
          <w:sz w:val="22"/>
        </w:rPr>
        <w:t xml:space="preserve">15-year </w:t>
      </w:r>
      <w:r w:rsidR="00043EEF">
        <w:rPr>
          <w:rFonts w:ascii="Arial" w:hAnsi="Arial"/>
          <w:sz w:val="22"/>
        </w:rPr>
        <w:t>compliance period of the building.</w:t>
      </w:r>
    </w:p>
    <w:p w14:paraId="057DCDC5" w14:textId="77777777" w:rsidR="00043EEF" w:rsidRDefault="00E21788" w:rsidP="00704D53">
      <w:pPr>
        <w:keepNext/>
        <w:rPr>
          <w:rFonts w:ascii="Arial" w:hAnsi="Arial"/>
          <w:sz w:val="22"/>
        </w:rPr>
      </w:pPr>
      <w:r>
        <w:rPr>
          <w:rFonts w:ascii="Arial" w:hAnsi="Arial"/>
          <w:sz w:val="22"/>
        </w:rPr>
        <w:tab/>
      </w:r>
      <w:r w:rsidR="00AE1889">
        <w:rPr>
          <w:rFonts w:ascii="Arial" w:hAnsi="Arial"/>
          <w:sz w:val="22"/>
        </w:rPr>
        <w:tab/>
        <w:t>(2)</w:t>
      </w:r>
      <w:r w:rsidR="00AE1889">
        <w:rPr>
          <w:rFonts w:ascii="Arial" w:hAnsi="Arial"/>
          <w:sz w:val="22"/>
        </w:rPr>
        <w:tab/>
      </w:r>
      <w:r w:rsidR="00043EEF">
        <w:rPr>
          <w:rFonts w:ascii="Arial" w:hAnsi="Arial"/>
          <w:sz w:val="22"/>
        </w:rPr>
        <w:t>Certification and Review</w:t>
      </w:r>
    </w:p>
    <w:p w14:paraId="464BC021" w14:textId="77777777" w:rsidR="00043EEF" w:rsidRDefault="00043EEF" w:rsidP="00704D53">
      <w:pPr>
        <w:keepNext/>
        <w:rPr>
          <w:rFonts w:ascii="Arial" w:hAnsi="Arial"/>
          <w:sz w:val="22"/>
        </w:rPr>
      </w:pPr>
    </w:p>
    <w:p w14:paraId="6316895A" w14:textId="77777777" w:rsidR="00043EEF" w:rsidRDefault="00043EEF" w:rsidP="00704D53">
      <w:pPr>
        <w:pStyle w:val="Heading1"/>
        <w:rPr>
          <w:rFonts w:ascii="Arial" w:hAnsi="Arial"/>
          <w:sz w:val="22"/>
        </w:rPr>
      </w:pPr>
      <w:r>
        <w:rPr>
          <w:rFonts w:ascii="Arial" w:hAnsi="Arial"/>
          <w:sz w:val="22"/>
        </w:rPr>
        <w:tab/>
      </w:r>
      <w:r w:rsidR="00AE1889">
        <w:rPr>
          <w:rFonts w:ascii="Arial" w:hAnsi="Arial"/>
          <w:sz w:val="22"/>
        </w:rPr>
        <w:tab/>
      </w:r>
      <w:r w:rsidR="00AE1889">
        <w:rPr>
          <w:rFonts w:ascii="Arial" w:hAnsi="Arial"/>
          <w:sz w:val="22"/>
        </w:rPr>
        <w:tab/>
        <w:t>(a)</w:t>
      </w:r>
      <w:r w:rsidR="00AE1889">
        <w:rPr>
          <w:rFonts w:ascii="Arial" w:hAnsi="Arial"/>
          <w:sz w:val="22"/>
        </w:rPr>
        <w:tab/>
      </w:r>
      <w:r>
        <w:rPr>
          <w:rFonts w:ascii="Arial" w:hAnsi="Arial"/>
          <w:sz w:val="22"/>
        </w:rPr>
        <w:t>Certification</w:t>
      </w:r>
    </w:p>
    <w:p w14:paraId="72A039F4" w14:textId="77777777" w:rsidR="00043EEF" w:rsidRDefault="00043EEF" w:rsidP="00704D53">
      <w:pPr>
        <w:keepNext/>
        <w:rPr>
          <w:rFonts w:ascii="Arial" w:hAnsi="Arial"/>
          <w:sz w:val="22"/>
        </w:rPr>
      </w:pPr>
    </w:p>
    <w:p w14:paraId="07DC33F0" w14:textId="77777777" w:rsidR="00043EEF" w:rsidRDefault="00043EEF" w:rsidP="00AE1889">
      <w:pPr>
        <w:ind w:left="2160" w:firstLine="720"/>
        <w:jc w:val="both"/>
        <w:rPr>
          <w:rFonts w:ascii="Arial" w:hAnsi="Arial"/>
          <w:sz w:val="22"/>
        </w:rPr>
      </w:pPr>
      <w:r>
        <w:rPr>
          <w:rFonts w:ascii="Arial" w:hAnsi="Arial"/>
          <w:sz w:val="22"/>
        </w:rPr>
        <w:t>The owner will be required to certify</w:t>
      </w:r>
      <w:r w:rsidR="00E21788">
        <w:rPr>
          <w:rFonts w:ascii="Arial" w:hAnsi="Arial"/>
          <w:sz w:val="22"/>
        </w:rPr>
        <w:t xml:space="preserve"> the following on an annual basis covering the preceding 12-month period:</w:t>
      </w:r>
    </w:p>
    <w:p w14:paraId="25C1400D" w14:textId="77777777" w:rsidR="00043EEF" w:rsidRDefault="00043EEF">
      <w:pPr>
        <w:rPr>
          <w:rFonts w:ascii="Arial" w:hAnsi="Arial"/>
          <w:sz w:val="22"/>
        </w:rPr>
      </w:pPr>
    </w:p>
    <w:p w14:paraId="01C2FF9A" w14:textId="22D65119" w:rsidR="00AE1889" w:rsidRDefault="00043EEF" w:rsidP="00AE1889">
      <w:pPr>
        <w:ind w:left="2880" w:hanging="1530"/>
        <w:jc w:val="both"/>
        <w:rPr>
          <w:rFonts w:ascii="Arial" w:hAnsi="Arial"/>
          <w:sz w:val="22"/>
        </w:rPr>
      </w:pPr>
      <w:r>
        <w:rPr>
          <w:rFonts w:ascii="Arial" w:hAnsi="Arial"/>
          <w:sz w:val="22"/>
        </w:rPr>
        <w:tab/>
        <w:t>(</w:t>
      </w:r>
      <w:proofErr w:type="spellStart"/>
      <w:r>
        <w:rPr>
          <w:rFonts w:ascii="Arial" w:hAnsi="Arial"/>
          <w:sz w:val="22"/>
        </w:rPr>
        <w:t>i</w:t>
      </w:r>
      <w:proofErr w:type="spellEnd"/>
      <w:r>
        <w:rPr>
          <w:rFonts w:ascii="Arial" w:hAnsi="Arial"/>
          <w:sz w:val="22"/>
        </w:rPr>
        <w:t>)</w:t>
      </w:r>
      <w:r>
        <w:rPr>
          <w:rFonts w:ascii="Arial" w:hAnsi="Arial"/>
          <w:sz w:val="22"/>
        </w:rPr>
        <w:tab/>
      </w:r>
      <w:r w:rsidR="00867B03">
        <w:rPr>
          <w:rFonts w:ascii="Arial" w:hAnsi="Arial"/>
          <w:sz w:val="22"/>
        </w:rPr>
        <w:t>The project met</w:t>
      </w:r>
      <w:r>
        <w:rPr>
          <w:rFonts w:ascii="Arial" w:hAnsi="Arial"/>
          <w:sz w:val="22"/>
        </w:rPr>
        <w:t xml:space="preserve"> the requirements of the 20-50 test under </w:t>
      </w:r>
      <w:r w:rsidR="00792C77">
        <w:rPr>
          <w:rFonts w:ascii="Arial" w:hAnsi="Arial"/>
          <w:sz w:val="22"/>
        </w:rPr>
        <w:t>S</w:t>
      </w:r>
      <w:r>
        <w:rPr>
          <w:rFonts w:ascii="Arial" w:hAnsi="Arial"/>
          <w:sz w:val="22"/>
        </w:rPr>
        <w:t>ection 42(g)(1)(A)</w:t>
      </w:r>
      <w:r w:rsidR="00B05D75">
        <w:rPr>
          <w:rFonts w:ascii="Arial" w:hAnsi="Arial"/>
          <w:sz w:val="22"/>
        </w:rPr>
        <w:t>,</w:t>
      </w:r>
      <w:r>
        <w:rPr>
          <w:rFonts w:ascii="Arial" w:hAnsi="Arial"/>
          <w:sz w:val="22"/>
        </w:rPr>
        <w:t xml:space="preserve"> or the 40-60 test under </w:t>
      </w:r>
      <w:r w:rsidR="00792C77">
        <w:rPr>
          <w:rFonts w:ascii="Arial" w:hAnsi="Arial"/>
          <w:sz w:val="22"/>
        </w:rPr>
        <w:t>S</w:t>
      </w:r>
      <w:r>
        <w:rPr>
          <w:rFonts w:ascii="Arial" w:hAnsi="Arial"/>
          <w:sz w:val="22"/>
        </w:rPr>
        <w:t>ection 42(g)(1)(B)</w:t>
      </w:r>
      <w:r w:rsidR="00E21788">
        <w:rPr>
          <w:rFonts w:ascii="Arial" w:hAnsi="Arial"/>
          <w:sz w:val="22"/>
        </w:rPr>
        <w:t xml:space="preserve"> of the Code</w:t>
      </w:r>
      <w:r>
        <w:rPr>
          <w:rFonts w:ascii="Arial" w:hAnsi="Arial"/>
          <w:sz w:val="22"/>
        </w:rPr>
        <w:t xml:space="preserve">, </w:t>
      </w:r>
      <w:r w:rsidR="0093547D">
        <w:rPr>
          <w:rFonts w:ascii="Arial" w:hAnsi="Arial"/>
          <w:sz w:val="22"/>
        </w:rPr>
        <w:t xml:space="preserve">or </w:t>
      </w:r>
      <w:r w:rsidR="00990203">
        <w:rPr>
          <w:rFonts w:ascii="Arial" w:hAnsi="Arial"/>
          <w:sz w:val="22"/>
        </w:rPr>
        <w:t>Average Income</w:t>
      </w:r>
      <w:r w:rsidR="0093547D">
        <w:rPr>
          <w:rFonts w:ascii="Arial" w:hAnsi="Arial"/>
          <w:sz w:val="22"/>
        </w:rPr>
        <w:t xml:space="preserve"> under Section</w:t>
      </w:r>
      <w:r w:rsidR="00957D4C">
        <w:rPr>
          <w:rFonts w:ascii="Arial" w:hAnsi="Arial"/>
          <w:sz w:val="22"/>
        </w:rPr>
        <w:t xml:space="preserve"> 42(g)(1)(c), </w:t>
      </w:r>
      <w:r>
        <w:rPr>
          <w:rFonts w:ascii="Arial" w:hAnsi="Arial"/>
          <w:sz w:val="22"/>
        </w:rPr>
        <w:t xml:space="preserve">whichever </w:t>
      </w:r>
      <w:r w:rsidR="00C37583">
        <w:rPr>
          <w:rFonts w:ascii="Arial" w:hAnsi="Arial"/>
          <w:sz w:val="22"/>
        </w:rPr>
        <w:t>M</w:t>
      </w:r>
      <w:r>
        <w:rPr>
          <w:rFonts w:ascii="Arial" w:hAnsi="Arial"/>
          <w:sz w:val="22"/>
        </w:rPr>
        <w:t xml:space="preserve">inimum </w:t>
      </w:r>
      <w:r w:rsidR="00C37583">
        <w:rPr>
          <w:rFonts w:ascii="Arial" w:hAnsi="Arial"/>
          <w:sz w:val="22"/>
        </w:rPr>
        <w:t>S</w:t>
      </w:r>
      <w:r>
        <w:rPr>
          <w:rFonts w:ascii="Arial" w:hAnsi="Arial"/>
          <w:sz w:val="22"/>
        </w:rPr>
        <w:t>et-</w:t>
      </w:r>
      <w:r w:rsidR="00C37583">
        <w:rPr>
          <w:rFonts w:ascii="Arial" w:hAnsi="Arial"/>
          <w:sz w:val="22"/>
        </w:rPr>
        <w:t>A</w:t>
      </w:r>
      <w:r>
        <w:rPr>
          <w:rFonts w:ascii="Arial" w:hAnsi="Arial"/>
          <w:sz w:val="22"/>
        </w:rPr>
        <w:t xml:space="preserve">side </w:t>
      </w:r>
      <w:r w:rsidR="00C37583">
        <w:rPr>
          <w:rFonts w:ascii="Arial" w:hAnsi="Arial"/>
          <w:sz w:val="22"/>
        </w:rPr>
        <w:t>T</w:t>
      </w:r>
      <w:r>
        <w:rPr>
          <w:rFonts w:ascii="Arial" w:hAnsi="Arial"/>
          <w:sz w:val="22"/>
        </w:rPr>
        <w:t xml:space="preserve">est is applicable to the project, and the 15-40 test under </w:t>
      </w:r>
      <w:r w:rsidR="00792C77">
        <w:rPr>
          <w:rFonts w:ascii="Arial" w:hAnsi="Arial"/>
          <w:sz w:val="22"/>
        </w:rPr>
        <w:t>S</w:t>
      </w:r>
      <w:r>
        <w:rPr>
          <w:rFonts w:ascii="Arial" w:hAnsi="Arial"/>
          <w:sz w:val="22"/>
        </w:rPr>
        <w:t>ections 42(g)(4) and 142(d)(4)(B)</w:t>
      </w:r>
      <w:r w:rsidR="00E21788">
        <w:rPr>
          <w:rFonts w:ascii="Arial" w:hAnsi="Arial"/>
          <w:sz w:val="22"/>
        </w:rPr>
        <w:t xml:space="preserve"> of the Code</w:t>
      </w:r>
      <w:r>
        <w:rPr>
          <w:rFonts w:ascii="Arial" w:hAnsi="Arial"/>
          <w:sz w:val="22"/>
        </w:rPr>
        <w:t xml:space="preserve"> for “deep rent skewed”, projects, if applicable to the project;</w:t>
      </w:r>
    </w:p>
    <w:p w14:paraId="30D4785C" w14:textId="77777777" w:rsidR="00AE1889" w:rsidRDefault="00AE1889" w:rsidP="00AE1889">
      <w:pPr>
        <w:ind w:left="2880" w:hanging="1530"/>
        <w:jc w:val="both"/>
        <w:rPr>
          <w:rFonts w:ascii="Arial" w:hAnsi="Arial"/>
          <w:sz w:val="22"/>
        </w:rPr>
      </w:pPr>
    </w:p>
    <w:p w14:paraId="621A2ADA" w14:textId="77777777" w:rsidR="00AE1889" w:rsidRDefault="00043EEF" w:rsidP="00AE1889">
      <w:pPr>
        <w:ind w:left="2880" w:hanging="1530"/>
        <w:jc w:val="both"/>
        <w:rPr>
          <w:rFonts w:ascii="Arial" w:hAnsi="Arial"/>
          <w:sz w:val="22"/>
        </w:rPr>
      </w:pPr>
      <w:r>
        <w:rPr>
          <w:rFonts w:ascii="Arial" w:hAnsi="Arial"/>
          <w:sz w:val="22"/>
        </w:rPr>
        <w:tab/>
        <w:t>(ii)</w:t>
      </w:r>
      <w:r>
        <w:rPr>
          <w:rFonts w:ascii="Arial" w:hAnsi="Arial"/>
          <w:sz w:val="22"/>
        </w:rPr>
        <w:tab/>
        <w:t xml:space="preserve">There was no change in the applicable fraction (as defined in </w:t>
      </w:r>
      <w:r w:rsidR="00792C77">
        <w:rPr>
          <w:rFonts w:ascii="Arial" w:hAnsi="Arial"/>
          <w:sz w:val="22"/>
        </w:rPr>
        <w:t xml:space="preserve">Section </w:t>
      </w:r>
      <w:r>
        <w:rPr>
          <w:rFonts w:ascii="Arial" w:hAnsi="Arial"/>
          <w:sz w:val="22"/>
        </w:rPr>
        <w:t>42(c)(1)(B)</w:t>
      </w:r>
      <w:r w:rsidR="00E21788">
        <w:rPr>
          <w:rFonts w:ascii="Arial" w:hAnsi="Arial"/>
          <w:sz w:val="22"/>
        </w:rPr>
        <w:t xml:space="preserve"> of the Code)</w:t>
      </w:r>
      <w:r>
        <w:rPr>
          <w:rFonts w:ascii="Arial" w:hAnsi="Arial"/>
          <w:sz w:val="22"/>
        </w:rPr>
        <w:t xml:space="preserve"> of any building in the project, or </w:t>
      </w:r>
      <w:r w:rsidR="00792C77">
        <w:rPr>
          <w:rFonts w:ascii="Arial" w:hAnsi="Arial"/>
          <w:sz w:val="22"/>
        </w:rPr>
        <w:t>that there was a change, and a</w:t>
      </w:r>
      <w:r>
        <w:rPr>
          <w:rFonts w:ascii="Arial" w:hAnsi="Arial"/>
          <w:sz w:val="22"/>
        </w:rPr>
        <w:t xml:space="preserve"> description of the </w:t>
      </w:r>
      <w:proofErr w:type="gramStart"/>
      <w:r>
        <w:rPr>
          <w:rFonts w:ascii="Arial" w:hAnsi="Arial"/>
          <w:sz w:val="22"/>
        </w:rPr>
        <w:t>change;</w:t>
      </w:r>
      <w:proofErr w:type="gramEnd"/>
    </w:p>
    <w:p w14:paraId="20EADE57" w14:textId="77777777" w:rsidR="00AE1889" w:rsidRDefault="00AE1889" w:rsidP="00AE1889">
      <w:pPr>
        <w:ind w:left="2880" w:hanging="1530"/>
        <w:jc w:val="both"/>
        <w:rPr>
          <w:rFonts w:ascii="Arial" w:hAnsi="Arial"/>
          <w:sz w:val="22"/>
        </w:rPr>
      </w:pPr>
    </w:p>
    <w:p w14:paraId="6D606DB8" w14:textId="4C819F9E" w:rsidR="00AE1889" w:rsidRDefault="00043EEF" w:rsidP="00AE1889">
      <w:pPr>
        <w:ind w:left="2880" w:hanging="1530"/>
        <w:jc w:val="both"/>
        <w:rPr>
          <w:rFonts w:ascii="Arial" w:hAnsi="Arial"/>
          <w:sz w:val="22"/>
        </w:rPr>
      </w:pPr>
      <w:r>
        <w:rPr>
          <w:rFonts w:ascii="Arial" w:hAnsi="Arial"/>
          <w:sz w:val="22"/>
        </w:rPr>
        <w:tab/>
        <w:t>(iii)</w:t>
      </w:r>
      <w:r>
        <w:rPr>
          <w:rFonts w:ascii="Arial" w:hAnsi="Arial"/>
          <w:sz w:val="22"/>
        </w:rPr>
        <w:tab/>
      </w:r>
      <w:r w:rsidR="00A1293B">
        <w:rPr>
          <w:rFonts w:ascii="Arial" w:hAnsi="Arial"/>
          <w:sz w:val="22"/>
        </w:rPr>
        <w:t xml:space="preserve"> </w:t>
      </w:r>
      <w:r w:rsidR="00A1293B" w:rsidRPr="004E1FAA">
        <w:rPr>
          <w:rFonts w:ascii="Arial" w:hAnsi="Arial" w:cs="Arial"/>
          <w:sz w:val="22"/>
          <w:szCs w:val="22"/>
        </w:rPr>
        <w:t>At initial occupancy the owner has received a Tenant Income Certification with supporting documentation and an Annual Student Certification</w:t>
      </w:r>
      <w:r w:rsidR="00C37583">
        <w:rPr>
          <w:rFonts w:ascii="Arial" w:hAnsi="Arial" w:cs="Arial"/>
          <w:sz w:val="22"/>
          <w:szCs w:val="22"/>
        </w:rPr>
        <w:t xml:space="preserve"> (if applicable)</w:t>
      </w:r>
      <w:r w:rsidR="00A1293B" w:rsidRPr="004E1FAA">
        <w:rPr>
          <w:rFonts w:ascii="Arial" w:hAnsi="Arial" w:cs="Arial"/>
          <w:sz w:val="22"/>
          <w:szCs w:val="22"/>
        </w:rPr>
        <w:t xml:space="preserve"> from each </w:t>
      </w:r>
      <w:r w:rsidR="00957D4C">
        <w:rPr>
          <w:rFonts w:ascii="Arial" w:hAnsi="Arial" w:cs="Arial"/>
          <w:sz w:val="22"/>
          <w:szCs w:val="22"/>
        </w:rPr>
        <w:t>HTC tenant</w:t>
      </w:r>
      <w:r w:rsidR="00A1293B" w:rsidRPr="004E1FAA">
        <w:rPr>
          <w:rFonts w:ascii="Arial" w:hAnsi="Arial" w:cs="Arial"/>
          <w:sz w:val="22"/>
          <w:szCs w:val="22"/>
        </w:rPr>
        <w:t>.  At annual recertification</w:t>
      </w:r>
      <w:r w:rsidR="00B05D75">
        <w:rPr>
          <w:rFonts w:ascii="Arial" w:hAnsi="Arial" w:cs="Arial"/>
          <w:sz w:val="22"/>
          <w:szCs w:val="22"/>
        </w:rPr>
        <w:t>,</w:t>
      </w:r>
      <w:r w:rsidR="00A1293B" w:rsidRPr="004E1FAA">
        <w:rPr>
          <w:rFonts w:ascii="Arial" w:hAnsi="Arial" w:cs="Arial"/>
          <w:sz w:val="22"/>
          <w:szCs w:val="22"/>
        </w:rPr>
        <w:t xml:space="preserve"> owner has received an Annual Student Certification and, where applicable, a Tenant Income Certification with supporting documentation from each </w:t>
      </w:r>
      <w:r w:rsidR="00957D4C">
        <w:rPr>
          <w:rFonts w:ascii="Arial" w:hAnsi="Arial" w:cs="Arial"/>
          <w:sz w:val="22"/>
          <w:szCs w:val="22"/>
        </w:rPr>
        <w:t>HTC tenant</w:t>
      </w:r>
      <w:r>
        <w:rPr>
          <w:rFonts w:ascii="Arial" w:hAnsi="Arial"/>
          <w:sz w:val="22"/>
        </w:rPr>
        <w:t xml:space="preserve">, except </w:t>
      </w:r>
      <w:r w:rsidR="00867B03">
        <w:rPr>
          <w:rFonts w:ascii="Arial" w:hAnsi="Arial"/>
          <w:sz w:val="22"/>
        </w:rPr>
        <w:t>for projects that meet the requirements under Section 42(g)(8)(B)</w:t>
      </w:r>
      <w:r>
        <w:rPr>
          <w:rFonts w:ascii="Arial" w:hAnsi="Arial"/>
          <w:sz w:val="22"/>
        </w:rPr>
        <w:t>, and documentation to support that certification or, in the case of a tenant receiving Section 8 housing assistance payments, the statement from a public housing authority described above</w:t>
      </w:r>
      <w:r w:rsidR="00867B03">
        <w:rPr>
          <w:rFonts w:ascii="Arial" w:hAnsi="Arial"/>
          <w:sz w:val="22"/>
        </w:rPr>
        <w:t xml:space="preserve"> in Section B.1.</w:t>
      </w:r>
      <w:r w:rsidR="00957D4C">
        <w:rPr>
          <w:rFonts w:ascii="Arial" w:hAnsi="Arial"/>
          <w:sz w:val="22"/>
        </w:rPr>
        <w:t>(a)</w:t>
      </w:r>
      <w:r w:rsidR="00867B03">
        <w:rPr>
          <w:rFonts w:ascii="Arial" w:hAnsi="Arial"/>
          <w:sz w:val="22"/>
        </w:rPr>
        <w:t>(vii)</w:t>
      </w:r>
      <w:r>
        <w:rPr>
          <w:rFonts w:ascii="Arial" w:hAnsi="Arial"/>
          <w:sz w:val="22"/>
        </w:rPr>
        <w:t>;</w:t>
      </w:r>
    </w:p>
    <w:p w14:paraId="275E1BF0" w14:textId="77777777" w:rsidR="00AE1889" w:rsidRDefault="00AE1889" w:rsidP="00AE1889">
      <w:pPr>
        <w:ind w:left="2880" w:hanging="1530"/>
        <w:jc w:val="both"/>
        <w:rPr>
          <w:rFonts w:ascii="Arial" w:hAnsi="Arial"/>
          <w:sz w:val="22"/>
        </w:rPr>
      </w:pPr>
    </w:p>
    <w:p w14:paraId="0B6009B2" w14:textId="23D5449F" w:rsidR="00C4310C" w:rsidRDefault="00043EEF" w:rsidP="00AE1889">
      <w:pPr>
        <w:ind w:left="2880" w:hanging="1530"/>
        <w:jc w:val="both"/>
        <w:rPr>
          <w:rFonts w:ascii="Arial" w:hAnsi="Arial"/>
          <w:sz w:val="22"/>
        </w:rPr>
      </w:pPr>
      <w:r>
        <w:rPr>
          <w:rFonts w:ascii="Arial" w:hAnsi="Arial"/>
          <w:sz w:val="22"/>
        </w:rPr>
        <w:tab/>
        <w:t>(iv)</w:t>
      </w:r>
      <w:r>
        <w:rPr>
          <w:rFonts w:ascii="Arial" w:hAnsi="Arial"/>
          <w:sz w:val="22"/>
        </w:rPr>
        <w:tab/>
        <w:t xml:space="preserve">Each </w:t>
      </w:r>
      <w:r w:rsidR="00957D4C">
        <w:rPr>
          <w:rFonts w:ascii="Arial" w:hAnsi="Arial"/>
          <w:sz w:val="22"/>
        </w:rPr>
        <w:t>HTC unit</w:t>
      </w:r>
      <w:r>
        <w:rPr>
          <w:rFonts w:ascii="Arial" w:hAnsi="Arial"/>
          <w:sz w:val="22"/>
        </w:rPr>
        <w:t xml:space="preserve"> in the project is </w:t>
      </w:r>
      <w:proofErr w:type="gramStart"/>
      <w:r>
        <w:rPr>
          <w:rFonts w:ascii="Arial" w:hAnsi="Arial"/>
          <w:sz w:val="22"/>
        </w:rPr>
        <w:t>rent-restricted</w:t>
      </w:r>
      <w:proofErr w:type="gramEnd"/>
      <w:r>
        <w:rPr>
          <w:rFonts w:ascii="Arial" w:hAnsi="Arial"/>
          <w:sz w:val="22"/>
        </w:rPr>
        <w:t xml:space="preserve"> under </w:t>
      </w:r>
      <w:r w:rsidR="00792C77">
        <w:rPr>
          <w:rFonts w:ascii="Arial" w:hAnsi="Arial"/>
          <w:sz w:val="22"/>
        </w:rPr>
        <w:t>S</w:t>
      </w:r>
      <w:r>
        <w:rPr>
          <w:rFonts w:ascii="Arial" w:hAnsi="Arial"/>
          <w:sz w:val="22"/>
        </w:rPr>
        <w:t>ection 42(g)(2)</w:t>
      </w:r>
      <w:r w:rsidR="000B1A20">
        <w:rPr>
          <w:rFonts w:ascii="Arial" w:hAnsi="Arial"/>
          <w:sz w:val="22"/>
        </w:rPr>
        <w:t xml:space="preserve"> of the Code</w:t>
      </w:r>
      <w:r w:rsidR="00A1293B">
        <w:rPr>
          <w:rFonts w:ascii="Arial" w:hAnsi="Arial"/>
          <w:sz w:val="22"/>
        </w:rPr>
        <w:t xml:space="preserve">. </w:t>
      </w:r>
    </w:p>
    <w:p w14:paraId="4078C75C" w14:textId="77777777" w:rsidR="00C4310C" w:rsidRDefault="00C4310C" w:rsidP="00AE1889">
      <w:pPr>
        <w:ind w:left="2880" w:hanging="1530"/>
        <w:jc w:val="both"/>
        <w:rPr>
          <w:rFonts w:ascii="Arial" w:hAnsi="Arial"/>
          <w:sz w:val="22"/>
        </w:rPr>
      </w:pPr>
    </w:p>
    <w:p w14:paraId="606295D6" w14:textId="0382C481" w:rsidR="00AE1889" w:rsidRDefault="00C4310C" w:rsidP="00845F80">
      <w:pPr>
        <w:ind w:left="2880"/>
        <w:jc w:val="both"/>
        <w:rPr>
          <w:rFonts w:ascii="Arial" w:hAnsi="Arial"/>
          <w:sz w:val="22"/>
        </w:rPr>
      </w:pPr>
      <w:r>
        <w:rPr>
          <w:rFonts w:ascii="Arial" w:hAnsi="Arial"/>
          <w:sz w:val="22"/>
        </w:rPr>
        <w:t>(v)</w:t>
      </w:r>
      <w:r>
        <w:rPr>
          <w:rFonts w:ascii="Arial" w:hAnsi="Arial"/>
          <w:sz w:val="22"/>
        </w:rPr>
        <w:tab/>
      </w:r>
      <w:r w:rsidR="00A1293B" w:rsidRPr="003E6763">
        <w:rPr>
          <w:rFonts w:ascii="Arial" w:hAnsi="Arial" w:cs="Arial"/>
          <w:sz w:val="22"/>
          <w:szCs w:val="22"/>
        </w:rPr>
        <w:t>No tenants in</w:t>
      </w:r>
      <w:r w:rsidR="00957D4C">
        <w:rPr>
          <w:rFonts w:ascii="Arial" w:hAnsi="Arial" w:cs="Arial"/>
          <w:sz w:val="22"/>
          <w:szCs w:val="22"/>
        </w:rPr>
        <w:t xml:space="preserve"> HTC units</w:t>
      </w:r>
      <w:r w:rsidR="00A1293B" w:rsidRPr="003E6763">
        <w:rPr>
          <w:rFonts w:ascii="Arial" w:hAnsi="Arial" w:cs="Arial"/>
          <w:sz w:val="22"/>
          <w:szCs w:val="22"/>
        </w:rPr>
        <w:t xml:space="preserve"> were evicted or had their tenancies terminated other than for good cause</w:t>
      </w:r>
      <w:r w:rsidR="00A1293B">
        <w:rPr>
          <w:rFonts w:ascii="Arial" w:hAnsi="Arial" w:cs="Arial"/>
          <w:sz w:val="22"/>
          <w:szCs w:val="22"/>
        </w:rPr>
        <w:t xml:space="preserve"> </w:t>
      </w:r>
      <w:r w:rsidR="00A1293B" w:rsidRPr="003E6763">
        <w:rPr>
          <w:rFonts w:ascii="Arial" w:hAnsi="Arial" w:cs="Arial"/>
          <w:sz w:val="22"/>
          <w:szCs w:val="22"/>
        </w:rPr>
        <w:t xml:space="preserve">and no tenants had an increase in the gross rent with respect to </w:t>
      </w:r>
      <w:proofErr w:type="gramStart"/>
      <w:r w:rsidR="00A1293B" w:rsidRPr="003E6763">
        <w:rPr>
          <w:rFonts w:ascii="Arial" w:hAnsi="Arial" w:cs="Arial"/>
          <w:sz w:val="22"/>
          <w:szCs w:val="22"/>
        </w:rPr>
        <w:t>a</w:t>
      </w:r>
      <w:proofErr w:type="gramEnd"/>
      <w:r w:rsidR="00A1293B" w:rsidRPr="003E6763">
        <w:rPr>
          <w:rFonts w:ascii="Arial" w:hAnsi="Arial" w:cs="Arial"/>
          <w:sz w:val="22"/>
          <w:szCs w:val="22"/>
        </w:rPr>
        <w:t xml:space="preserve"> </w:t>
      </w:r>
      <w:r w:rsidR="00957D4C">
        <w:rPr>
          <w:rFonts w:ascii="Arial" w:hAnsi="Arial" w:cs="Arial"/>
          <w:sz w:val="22"/>
          <w:szCs w:val="22"/>
        </w:rPr>
        <w:t>HTC</w:t>
      </w:r>
      <w:r w:rsidR="00A1293B" w:rsidRPr="003E6763">
        <w:rPr>
          <w:rFonts w:ascii="Arial" w:hAnsi="Arial" w:cs="Arial"/>
          <w:sz w:val="22"/>
          <w:szCs w:val="22"/>
        </w:rPr>
        <w:t xml:space="preserve"> unit not otherwise</w:t>
      </w:r>
      <w:r w:rsidR="00A1293B">
        <w:rPr>
          <w:rFonts w:ascii="Arial" w:hAnsi="Arial" w:cs="Arial"/>
          <w:sz w:val="22"/>
          <w:szCs w:val="22"/>
        </w:rPr>
        <w:t xml:space="preserve"> </w:t>
      </w:r>
      <w:r w:rsidR="00A1293B" w:rsidRPr="003E6763">
        <w:rPr>
          <w:rFonts w:ascii="Arial" w:hAnsi="Arial" w:cs="Arial"/>
          <w:sz w:val="22"/>
          <w:szCs w:val="22"/>
        </w:rPr>
        <w:t>permitted under Section 42</w:t>
      </w:r>
      <w:r w:rsidR="00043EEF">
        <w:rPr>
          <w:rFonts w:ascii="Arial" w:hAnsi="Arial"/>
          <w:sz w:val="22"/>
        </w:rPr>
        <w:t>;</w:t>
      </w:r>
      <w:r w:rsidR="00AE1889">
        <w:rPr>
          <w:rFonts w:ascii="Arial" w:hAnsi="Arial"/>
          <w:sz w:val="22"/>
        </w:rPr>
        <w:t xml:space="preserve"> </w:t>
      </w:r>
    </w:p>
    <w:p w14:paraId="411B0FCE" w14:textId="77777777" w:rsidR="00AE1889" w:rsidRDefault="00AE1889" w:rsidP="00AE1889">
      <w:pPr>
        <w:ind w:left="2880" w:hanging="1530"/>
        <w:jc w:val="both"/>
        <w:rPr>
          <w:rFonts w:ascii="Arial" w:hAnsi="Arial"/>
          <w:sz w:val="22"/>
        </w:rPr>
      </w:pPr>
    </w:p>
    <w:p w14:paraId="53FC1255" w14:textId="77777777" w:rsidR="00C4310C" w:rsidRDefault="00353919" w:rsidP="00AE1889">
      <w:pPr>
        <w:ind w:left="2880" w:hanging="1530"/>
        <w:jc w:val="both"/>
        <w:rPr>
          <w:rFonts w:ascii="Arial" w:hAnsi="Arial"/>
          <w:sz w:val="22"/>
        </w:rPr>
      </w:pPr>
      <w:r>
        <w:rPr>
          <w:rFonts w:ascii="Arial" w:hAnsi="Arial"/>
          <w:sz w:val="22"/>
        </w:rPr>
        <w:tab/>
      </w:r>
      <w:r w:rsidR="00043EEF">
        <w:rPr>
          <w:rFonts w:ascii="Arial" w:hAnsi="Arial"/>
          <w:sz w:val="22"/>
        </w:rPr>
        <w:t>(v</w:t>
      </w:r>
      <w:r w:rsidR="00C4310C">
        <w:rPr>
          <w:rFonts w:ascii="Arial" w:hAnsi="Arial"/>
          <w:sz w:val="22"/>
        </w:rPr>
        <w:t>i</w:t>
      </w:r>
      <w:r w:rsidR="00043EEF">
        <w:rPr>
          <w:rFonts w:ascii="Arial" w:hAnsi="Arial"/>
          <w:sz w:val="22"/>
        </w:rPr>
        <w:t>)</w:t>
      </w:r>
      <w:r w:rsidR="00043EEF">
        <w:rPr>
          <w:rFonts w:ascii="Arial" w:hAnsi="Arial"/>
          <w:sz w:val="22"/>
        </w:rPr>
        <w:tab/>
        <w:t xml:space="preserve">All units in the project are for use by the </w:t>
      </w:r>
      <w:proofErr w:type="gramStart"/>
      <w:r w:rsidR="00043EEF">
        <w:rPr>
          <w:rFonts w:ascii="Arial" w:hAnsi="Arial"/>
          <w:sz w:val="22"/>
        </w:rPr>
        <w:t>general public</w:t>
      </w:r>
      <w:proofErr w:type="gramEnd"/>
      <w:r w:rsidR="00043EEF">
        <w:rPr>
          <w:rFonts w:ascii="Arial" w:hAnsi="Arial"/>
          <w:sz w:val="22"/>
        </w:rPr>
        <w:t xml:space="preserve"> and are used on a non-transient basis (except for transitional housing </w:t>
      </w:r>
      <w:r w:rsidR="00792C77">
        <w:rPr>
          <w:rFonts w:ascii="Arial" w:hAnsi="Arial"/>
          <w:sz w:val="22"/>
        </w:rPr>
        <w:t>for the homeless provided pursuant to Section</w:t>
      </w:r>
      <w:r w:rsidR="00043EEF">
        <w:rPr>
          <w:rFonts w:ascii="Arial" w:hAnsi="Arial"/>
          <w:sz w:val="22"/>
        </w:rPr>
        <w:t xml:space="preserve"> 42(</w:t>
      </w:r>
      <w:proofErr w:type="spellStart"/>
      <w:r w:rsidR="00043EEF">
        <w:rPr>
          <w:rFonts w:ascii="Arial" w:hAnsi="Arial"/>
          <w:sz w:val="22"/>
        </w:rPr>
        <w:t>i</w:t>
      </w:r>
      <w:proofErr w:type="spellEnd"/>
      <w:r w:rsidR="00043EEF">
        <w:rPr>
          <w:rFonts w:ascii="Arial" w:hAnsi="Arial"/>
          <w:sz w:val="22"/>
        </w:rPr>
        <w:t>)(4)(B)(iii)</w:t>
      </w:r>
      <w:r w:rsidR="000B1A20">
        <w:rPr>
          <w:rFonts w:ascii="Arial" w:hAnsi="Arial"/>
          <w:sz w:val="22"/>
        </w:rPr>
        <w:t xml:space="preserve"> of the Code</w:t>
      </w:r>
      <w:r w:rsidR="00043EEF">
        <w:rPr>
          <w:rFonts w:ascii="Arial" w:hAnsi="Arial"/>
          <w:sz w:val="22"/>
        </w:rPr>
        <w:t>)</w:t>
      </w:r>
      <w:r w:rsidR="00A1293B">
        <w:rPr>
          <w:rFonts w:ascii="Arial" w:hAnsi="Arial"/>
          <w:sz w:val="22"/>
        </w:rPr>
        <w:t xml:space="preserve">. </w:t>
      </w:r>
    </w:p>
    <w:p w14:paraId="36873F22" w14:textId="77777777" w:rsidR="00C4310C" w:rsidRDefault="00C4310C" w:rsidP="00AE1889">
      <w:pPr>
        <w:ind w:left="2880" w:hanging="1530"/>
        <w:jc w:val="both"/>
        <w:rPr>
          <w:rFonts w:ascii="Arial" w:hAnsi="Arial" w:cs="Arial"/>
          <w:sz w:val="22"/>
          <w:szCs w:val="22"/>
        </w:rPr>
      </w:pPr>
    </w:p>
    <w:p w14:paraId="463A1C3D" w14:textId="636AC719" w:rsidR="00AE1889" w:rsidRDefault="00C4310C" w:rsidP="00845F80">
      <w:pPr>
        <w:ind w:left="2880"/>
        <w:jc w:val="both"/>
        <w:rPr>
          <w:rFonts w:ascii="Arial" w:hAnsi="Arial"/>
          <w:sz w:val="22"/>
        </w:rPr>
      </w:pPr>
      <w:r>
        <w:rPr>
          <w:rFonts w:ascii="Arial" w:hAnsi="Arial" w:cs="Arial"/>
          <w:sz w:val="22"/>
          <w:szCs w:val="22"/>
        </w:rPr>
        <w:lastRenderedPageBreak/>
        <w:t>(vii)</w:t>
      </w:r>
      <w:r>
        <w:rPr>
          <w:rFonts w:ascii="Arial" w:hAnsi="Arial" w:cs="Arial"/>
          <w:sz w:val="22"/>
          <w:szCs w:val="22"/>
        </w:rPr>
        <w:tab/>
      </w:r>
      <w:r w:rsidR="00A1293B" w:rsidRPr="003E6763">
        <w:rPr>
          <w:rFonts w:ascii="Arial" w:hAnsi="Arial" w:cs="Arial"/>
          <w:sz w:val="22"/>
          <w:szCs w:val="22"/>
        </w:rPr>
        <w:t>No finding of discrimination under the Fair Housing Act, 42 U.S.C 3601-3619, has occurred for th</w:t>
      </w:r>
      <w:r w:rsidR="00957D4C">
        <w:rPr>
          <w:rFonts w:ascii="Arial" w:hAnsi="Arial" w:cs="Arial"/>
          <w:sz w:val="22"/>
          <w:szCs w:val="22"/>
        </w:rPr>
        <w:t>e</w:t>
      </w:r>
      <w:r w:rsidR="00A1293B" w:rsidRPr="003E6763">
        <w:rPr>
          <w:rFonts w:ascii="Arial" w:hAnsi="Arial" w:cs="Arial"/>
          <w:sz w:val="22"/>
          <w:szCs w:val="22"/>
        </w:rPr>
        <w:t xml:space="preserve"> project.  A finding of discrimination includes an adverse final decision by the Secretary of Housing and Urban Development</w:t>
      </w:r>
      <w:r w:rsidR="00A1293B">
        <w:rPr>
          <w:rFonts w:ascii="Arial" w:hAnsi="Arial" w:cs="Arial"/>
          <w:sz w:val="22"/>
          <w:szCs w:val="22"/>
        </w:rPr>
        <w:t xml:space="preserve"> </w:t>
      </w:r>
      <w:r w:rsidR="00A1293B" w:rsidRPr="003E6763">
        <w:rPr>
          <w:rFonts w:ascii="Arial" w:hAnsi="Arial" w:cs="Arial"/>
          <w:sz w:val="22"/>
          <w:szCs w:val="22"/>
        </w:rPr>
        <w:t xml:space="preserve">(HUD), 42 U.S.C 3616a(a)(1), or an adverse judgment from a federal </w:t>
      </w:r>
      <w:proofErr w:type="gramStart"/>
      <w:r w:rsidR="00A1293B" w:rsidRPr="003E6763">
        <w:rPr>
          <w:rFonts w:ascii="Arial" w:hAnsi="Arial" w:cs="Arial"/>
          <w:sz w:val="22"/>
          <w:szCs w:val="22"/>
        </w:rPr>
        <w:t>court</w:t>
      </w:r>
      <w:r w:rsidR="00043EEF">
        <w:rPr>
          <w:rFonts w:ascii="Arial" w:hAnsi="Arial"/>
          <w:sz w:val="22"/>
        </w:rPr>
        <w:t>;</w:t>
      </w:r>
      <w:proofErr w:type="gramEnd"/>
      <w:r w:rsidR="00AE1889">
        <w:rPr>
          <w:rFonts w:ascii="Arial" w:hAnsi="Arial"/>
          <w:sz w:val="22"/>
        </w:rPr>
        <w:t xml:space="preserve"> </w:t>
      </w:r>
    </w:p>
    <w:p w14:paraId="3E5A3829" w14:textId="77777777" w:rsidR="00AE1889" w:rsidRDefault="00AE1889" w:rsidP="00AE1889">
      <w:pPr>
        <w:ind w:left="2880" w:hanging="1530"/>
        <w:jc w:val="both"/>
        <w:rPr>
          <w:rFonts w:ascii="Arial" w:hAnsi="Arial"/>
          <w:sz w:val="22"/>
        </w:rPr>
      </w:pPr>
    </w:p>
    <w:p w14:paraId="26295B3B" w14:textId="26A616F9" w:rsidR="00447737" w:rsidRDefault="00043EEF" w:rsidP="00AE1889">
      <w:pPr>
        <w:ind w:left="2880"/>
        <w:jc w:val="both"/>
        <w:rPr>
          <w:rFonts w:ascii="Arial" w:hAnsi="Arial"/>
          <w:sz w:val="22"/>
        </w:rPr>
      </w:pPr>
      <w:r>
        <w:rPr>
          <w:rFonts w:ascii="Arial" w:hAnsi="Arial"/>
          <w:sz w:val="22"/>
        </w:rPr>
        <w:t>(vi</w:t>
      </w:r>
      <w:r w:rsidR="00C4310C">
        <w:rPr>
          <w:rFonts w:ascii="Arial" w:hAnsi="Arial"/>
          <w:sz w:val="22"/>
        </w:rPr>
        <w:t>ii</w:t>
      </w:r>
      <w:r>
        <w:rPr>
          <w:rFonts w:ascii="Arial" w:hAnsi="Arial"/>
          <w:sz w:val="22"/>
        </w:rPr>
        <w:t>)</w:t>
      </w:r>
      <w:r>
        <w:rPr>
          <w:rFonts w:ascii="Arial" w:hAnsi="Arial"/>
          <w:sz w:val="22"/>
        </w:rPr>
        <w:tab/>
        <w:t xml:space="preserve">Each building </w:t>
      </w:r>
      <w:r w:rsidR="00867B03">
        <w:rPr>
          <w:rFonts w:ascii="Arial" w:hAnsi="Arial"/>
          <w:sz w:val="22"/>
        </w:rPr>
        <w:t xml:space="preserve">and HTC unit </w:t>
      </w:r>
      <w:r>
        <w:rPr>
          <w:rFonts w:ascii="Arial" w:hAnsi="Arial"/>
          <w:sz w:val="22"/>
        </w:rPr>
        <w:t>in the project is suitable for occupancy, taking into account local health, safety, and building codes</w:t>
      </w:r>
      <w:r w:rsidR="00867B03">
        <w:rPr>
          <w:rFonts w:ascii="Arial" w:hAnsi="Arial"/>
          <w:sz w:val="22"/>
        </w:rPr>
        <w:t xml:space="preserve"> and the State or local government unit responsible for making local health, safety or building code inspections did not issue a violation report for any building of HTC unit in the </w:t>
      </w:r>
      <w:proofErr w:type="gramStart"/>
      <w:r w:rsidR="00867B03">
        <w:rPr>
          <w:rFonts w:ascii="Arial" w:hAnsi="Arial"/>
          <w:sz w:val="22"/>
        </w:rPr>
        <w:t>project</w:t>
      </w:r>
      <w:r>
        <w:rPr>
          <w:rFonts w:ascii="Arial" w:hAnsi="Arial"/>
          <w:sz w:val="22"/>
        </w:rPr>
        <w:t>;</w:t>
      </w:r>
      <w:proofErr w:type="gramEnd"/>
    </w:p>
    <w:p w14:paraId="1B9DB436" w14:textId="77777777" w:rsidR="00447737" w:rsidRDefault="00447737" w:rsidP="00AE1889">
      <w:pPr>
        <w:ind w:left="2880"/>
        <w:jc w:val="both"/>
        <w:rPr>
          <w:rFonts w:ascii="Arial" w:hAnsi="Arial"/>
          <w:sz w:val="22"/>
        </w:rPr>
      </w:pPr>
    </w:p>
    <w:p w14:paraId="0C1743ED" w14:textId="47B64188" w:rsidR="00447737" w:rsidRDefault="00043EEF" w:rsidP="00447737">
      <w:pPr>
        <w:ind w:left="2880"/>
        <w:jc w:val="both"/>
        <w:rPr>
          <w:rFonts w:ascii="Arial" w:hAnsi="Arial"/>
          <w:sz w:val="22"/>
        </w:rPr>
      </w:pPr>
      <w:r>
        <w:rPr>
          <w:rFonts w:ascii="Arial" w:hAnsi="Arial"/>
          <w:sz w:val="22"/>
        </w:rPr>
        <w:t>(</w:t>
      </w:r>
      <w:r w:rsidR="00C4310C">
        <w:rPr>
          <w:rFonts w:ascii="Arial" w:hAnsi="Arial"/>
          <w:sz w:val="22"/>
        </w:rPr>
        <w:t>ix</w:t>
      </w:r>
      <w:r>
        <w:rPr>
          <w:rFonts w:ascii="Arial" w:hAnsi="Arial"/>
          <w:sz w:val="22"/>
        </w:rPr>
        <w:t>)</w:t>
      </w:r>
      <w:r>
        <w:rPr>
          <w:rFonts w:ascii="Arial" w:hAnsi="Arial"/>
          <w:sz w:val="22"/>
        </w:rPr>
        <w:tab/>
        <w:t xml:space="preserve">There has been no change in the eligible basis (as defined in </w:t>
      </w:r>
      <w:r w:rsidR="00792C77">
        <w:rPr>
          <w:rFonts w:ascii="Arial" w:hAnsi="Arial"/>
          <w:sz w:val="22"/>
        </w:rPr>
        <w:t>S</w:t>
      </w:r>
      <w:r>
        <w:rPr>
          <w:rFonts w:ascii="Arial" w:hAnsi="Arial"/>
          <w:sz w:val="22"/>
        </w:rPr>
        <w:t>ection 42(d)</w:t>
      </w:r>
      <w:r w:rsidR="000B1A20">
        <w:rPr>
          <w:rFonts w:ascii="Arial" w:hAnsi="Arial"/>
          <w:sz w:val="22"/>
        </w:rPr>
        <w:t xml:space="preserve"> of the Code</w:t>
      </w:r>
      <w:r>
        <w:rPr>
          <w:rFonts w:ascii="Arial" w:hAnsi="Arial"/>
          <w:sz w:val="22"/>
        </w:rPr>
        <w:t xml:space="preserve">) of any building in the project or that there has been a change, and the nature of the </w:t>
      </w:r>
      <w:proofErr w:type="gramStart"/>
      <w:r>
        <w:rPr>
          <w:rFonts w:ascii="Arial" w:hAnsi="Arial"/>
          <w:sz w:val="22"/>
        </w:rPr>
        <w:t>change;</w:t>
      </w:r>
      <w:proofErr w:type="gramEnd"/>
    </w:p>
    <w:p w14:paraId="7395996F" w14:textId="77777777" w:rsidR="00447737" w:rsidRDefault="00447737" w:rsidP="00447737">
      <w:pPr>
        <w:ind w:left="2880"/>
        <w:jc w:val="both"/>
        <w:rPr>
          <w:rFonts w:ascii="Arial" w:hAnsi="Arial"/>
          <w:sz w:val="22"/>
        </w:rPr>
      </w:pPr>
    </w:p>
    <w:p w14:paraId="4D2C3C52" w14:textId="35FCD9F8" w:rsidR="00447737" w:rsidRDefault="00043EEF" w:rsidP="00447737">
      <w:pPr>
        <w:ind w:left="2880"/>
        <w:jc w:val="both"/>
        <w:rPr>
          <w:rFonts w:ascii="Arial" w:hAnsi="Arial"/>
          <w:sz w:val="22"/>
        </w:rPr>
      </w:pPr>
      <w:r>
        <w:rPr>
          <w:rFonts w:ascii="Arial" w:hAnsi="Arial"/>
          <w:sz w:val="22"/>
        </w:rPr>
        <w:t>(</w:t>
      </w:r>
      <w:r w:rsidR="00C4310C">
        <w:rPr>
          <w:rFonts w:ascii="Arial" w:hAnsi="Arial"/>
          <w:sz w:val="22"/>
        </w:rPr>
        <w:t>x</w:t>
      </w:r>
      <w:r>
        <w:rPr>
          <w:rFonts w:ascii="Arial" w:hAnsi="Arial"/>
          <w:sz w:val="22"/>
        </w:rPr>
        <w:t>)</w:t>
      </w:r>
      <w:r>
        <w:rPr>
          <w:rFonts w:ascii="Arial" w:hAnsi="Arial"/>
          <w:sz w:val="22"/>
        </w:rPr>
        <w:tab/>
        <w:t>All tenant facilities included</w:t>
      </w:r>
      <w:r w:rsidR="000B1A20">
        <w:rPr>
          <w:rFonts w:ascii="Arial" w:hAnsi="Arial"/>
          <w:sz w:val="22"/>
        </w:rPr>
        <w:t xml:space="preserve"> by the owner</w:t>
      </w:r>
      <w:r>
        <w:rPr>
          <w:rFonts w:ascii="Arial" w:hAnsi="Arial"/>
          <w:sz w:val="22"/>
        </w:rPr>
        <w:t xml:space="preserve"> in the eligible basis </w:t>
      </w:r>
      <w:r w:rsidR="007D79C3">
        <w:rPr>
          <w:rFonts w:ascii="Arial" w:hAnsi="Arial"/>
          <w:sz w:val="22"/>
        </w:rPr>
        <w:t xml:space="preserve">pursuant to </w:t>
      </w:r>
      <w:r w:rsidR="00792C77">
        <w:rPr>
          <w:rFonts w:ascii="Arial" w:hAnsi="Arial"/>
          <w:sz w:val="22"/>
        </w:rPr>
        <w:t>S</w:t>
      </w:r>
      <w:r>
        <w:rPr>
          <w:rFonts w:ascii="Arial" w:hAnsi="Arial"/>
          <w:sz w:val="22"/>
        </w:rPr>
        <w:t xml:space="preserve">ection 42(d) of </w:t>
      </w:r>
      <w:r w:rsidR="000B1A20">
        <w:rPr>
          <w:rFonts w:ascii="Arial" w:hAnsi="Arial"/>
          <w:sz w:val="22"/>
        </w:rPr>
        <w:t xml:space="preserve">the Code of </w:t>
      </w:r>
      <w:r>
        <w:rPr>
          <w:rFonts w:ascii="Arial" w:hAnsi="Arial"/>
          <w:sz w:val="22"/>
        </w:rPr>
        <w:t xml:space="preserve">any building in the project, such as swimming pools, other recreational facilities, and parking areas, are provided on a comparable basis without charge to all tenants in the </w:t>
      </w:r>
      <w:proofErr w:type="gramStart"/>
      <w:r>
        <w:rPr>
          <w:rFonts w:ascii="Arial" w:hAnsi="Arial"/>
          <w:sz w:val="22"/>
        </w:rPr>
        <w:t>building;</w:t>
      </w:r>
      <w:proofErr w:type="gramEnd"/>
      <w:r w:rsidR="00447737">
        <w:rPr>
          <w:rFonts w:ascii="Arial" w:hAnsi="Arial"/>
          <w:sz w:val="22"/>
        </w:rPr>
        <w:t xml:space="preserve"> </w:t>
      </w:r>
    </w:p>
    <w:p w14:paraId="3512FF84" w14:textId="77777777" w:rsidR="00447737" w:rsidRDefault="00447737" w:rsidP="00447737">
      <w:pPr>
        <w:ind w:left="2880"/>
        <w:jc w:val="both"/>
        <w:rPr>
          <w:rFonts w:ascii="Arial" w:hAnsi="Arial"/>
          <w:sz w:val="22"/>
        </w:rPr>
      </w:pPr>
    </w:p>
    <w:p w14:paraId="34E129BE" w14:textId="4042D796" w:rsidR="00447737" w:rsidRDefault="00043EEF" w:rsidP="00447737">
      <w:pPr>
        <w:ind w:left="2880"/>
        <w:jc w:val="both"/>
        <w:rPr>
          <w:rFonts w:ascii="Arial" w:hAnsi="Arial"/>
          <w:sz w:val="22"/>
        </w:rPr>
      </w:pPr>
      <w:r>
        <w:rPr>
          <w:rFonts w:ascii="Arial" w:hAnsi="Arial"/>
          <w:sz w:val="22"/>
        </w:rPr>
        <w:t>(</w:t>
      </w:r>
      <w:r w:rsidR="00C4310C">
        <w:rPr>
          <w:rFonts w:ascii="Arial" w:hAnsi="Arial"/>
          <w:sz w:val="22"/>
        </w:rPr>
        <w:t>xi</w:t>
      </w:r>
      <w:r>
        <w:rPr>
          <w:rFonts w:ascii="Arial" w:hAnsi="Arial"/>
          <w:sz w:val="22"/>
        </w:rPr>
        <w:t>)</w:t>
      </w:r>
      <w:r>
        <w:rPr>
          <w:rFonts w:ascii="Arial" w:hAnsi="Arial"/>
          <w:sz w:val="22"/>
        </w:rPr>
        <w:tab/>
        <w:t xml:space="preserve">If </w:t>
      </w:r>
      <w:proofErr w:type="gramStart"/>
      <w:r>
        <w:rPr>
          <w:rFonts w:ascii="Arial" w:hAnsi="Arial"/>
          <w:sz w:val="22"/>
        </w:rPr>
        <w:t>a</w:t>
      </w:r>
      <w:proofErr w:type="gramEnd"/>
      <w:r>
        <w:rPr>
          <w:rFonts w:ascii="Arial" w:hAnsi="Arial"/>
          <w:sz w:val="22"/>
        </w:rPr>
        <w:t xml:space="preserve"> </w:t>
      </w:r>
      <w:r w:rsidR="00220CCE">
        <w:rPr>
          <w:rFonts w:ascii="Arial" w:hAnsi="Arial"/>
          <w:sz w:val="22"/>
        </w:rPr>
        <w:t>HTC</w:t>
      </w:r>
      <w:r>
        <w:rPr>
          <w:rFonts w:ascii="Arial" w:hAnsi="Arial"/>
          <w:sz w:val="22"/>
        </w:rPr>
        <w:t xml:space="preserve"> unit in the project became vacant during the year, reasonable attempts were or are being made to rent that unit or the next available unit of comparable or smaller size to tenants having a qualifying income before any units in the project were or will be rented to tenants not having a qualifying income;</w:t>
      </w:r>
      <w:r w:rsidR="00447737">
        <w:rPr>
          <w:rFonts w:ascii="Arial" w:hAnsi="Arial"/>
          <w:sz w:val="22"/>
        </w:rPr>
        <w:t xml:space="preserve"> </w:t>
      </w:r>
    </w:p>
    <w:p w14:paraId="3D0B401B" w14:textId="77777777" w:rsidR="00447737" w:rsidRDefault="00447737" w:rsidP="00447737">
      <w:pPr>
        <w:ind w:left="2880"/>
        <w:jc w:val="both"/>
        <w:rPr>
          <w:rFonts w:ascii="Arial" w:hAnsi="Arial"/>
          <w:sz w:val="22"/>
        </w:rPr>
      </w:pPr>
    </w:p>
    <w:p w14:paraId="73A71CBA" w14:textId="7FE42902" w:rsidR="00447737" w:rsidRDefault="00043EEF" w:rsidP="00447737">
      <w:pPr>
        <w:ind w:left="2880"/>
        <w:jc w:val="both"/>
        <w:rPr>
          <w:rFonts w:ascii="Arial" w:hAnsi="Arial"/>
          <w:sz w:val="22"/>
        </w:rPr>
      </w:pPr>
      <w:r>
        <w:rPr>
          <w:rFonts w:ascii="Arial" w:hAnsi="Arial"/>
          <w:sz w:val="22"/>
        </w:rPr>
        <w:t>(x</w:t>
      </w:r>
      <w:r w:rsidR="00C4310C">
        <w:rPr>
          <w:rFonts w:ascii="Arial" w:hAnsi="Arial"/>
          <w:sz w:val="22"/>
        </w:rPr>
        <w:t>ii</w:t>
      </w:r>
      <w:r>
        <w:rPr>
          <w:rFonts w:ascii="Arial" w:hAnsi="Arial"/>
          <w:sz w:val="22"/>
        </w:rPr>
        <w:t>)</w:t>
      </w:r>
      <w:r>
        <w:rPr>
          <w:rFonts w:ascii="Arial" w:hAnsi="Arial"/>
          <w:sz w:val="22"/>
        </w:rPr>
        <w:tab/>
        <w:t xml:space="preserve">If the income of tenants of </w:t>
      </w:r>
      <w:proofErr w:type="gramStart"/>
      <w:r>
        <w:rPr>
          <w:rFonts w:ascii="Arial" w:hAnsi="Arial"/>
          <w:sz w:val="22"/>
        </w:rPr>
        <w:t>a</w:t>
      </w:r>
      <w:proofErr w:type="gramEnd"/>
      <w:r>
        <w:rPr>
          <w:rFonts w:ascii="Arial" w:hAnsi="Arial"/>
          <w:sz w:val="22"/>
        </w:rPr>
        <w:t xml:space="preserve"> </w:t>
      </w:r>
      <w:r w:rsidR="00220CCE">
        <w:rPr>
          <w:rFonts w:ascii="Arial" w:hAnsi="Arial"/>
          <w:sz w:val="22"/>
        </w:rPr>
        <w:t>HTC</w:t>
      </w:r>
      <w:r>
        <w:rPr>
          <w:rFonts w:ascii="Arial" w:hAnsi="Arial"/>
          <w:sz w:val="22"/>
        </w:rPr>
        <w:t xml:space="preserve"> unit in the project increases above the limit allowed in </w:t>
      </w:r>
      <w:r w:rsidR="007D79C3">
        <w:rPr>
          <w:rFonts w:ascii="Arial" w:hAnsi="Arial"/>
          <w:sz w:val="22"/>
        </w:rPr>
        <w:t>S</w:t>
      </w:r>
      <w:r>
        <w:rPr>
          <w:rFonts w:ascii="Arial" w:hAnsi="Arial"/>
          <w:sz w:val="22"/>
        </w:rPr>
        <w:t>ection 42(g)(2)(D)(ii)</w:t>
      </w:r>
      <w:r w:rsidR="007D79C3">
        <w:rPr>
          <w:rFonts w:ascii="Arial" w:hAnsi="Arial"/>
          <w:sz w:val="22"/>
        </w:rPr>
        <w:t xml:space="preserve"> of the Code</w:t>
      </w:r>
      <w:r>
        <w:rPr>
          <w:rFonts w:ascii="Arial" w:hAnsi="Arial"/>
          <w:sz w:val="22"/>
        </w:rPr>
        <w:t>, the next available unit of comparable or smaller size in the project was or will be rented to tenants having a qualifying income; and</w:t>
      </w:r>
      <w:r w:rsidR="00447737">
        <w:rPr>
          <w:rFonts w:ascii="Arial" w:hAnsi="Arial"/>
          <w:sz w:val="22"/>
        </w:rPr>
        <w:t xml:space="preserve"> </w:t>
      </w:r>
    </w:p>
    <w:p w14:paraId="6D06125D" w14:textId="77777777" w:rsidR="00447737" w:rsidRDefault="00447737" w:rsidP="00447737">
      <w:pPr>
        <w:ind w:left="2880"/>
        <w:jc w:val="both"/>
        <w:rPr>
          <w:rFonts w:ascii="Arial" w:hAnsi="Arial"/>
          <w:sz w:val="22"/>
        </w:rPr>
      </w:pPr>
    </w:p>
    <w:p w14:paraId="1CFC997C" w14:textId="77777777" w:rsidR="00C4310C" w:rsidRDefault="00043EEF" w:rsidP="00447737">
      <w:pPr>
        <w:ind w:left="2880"/>
        <w:jc w:val="both"/>
        <w:rPr>
          <w:rFonts w:ascii="Arial" w:hAnsi="Arial"/>
          <w:sz w:val="22"/>
        </w:rPr>
      </w:pPr>
      <w:r>
        <w:rPr>
          <w:rFonts w:ascii="Arial" w:hAnsi="Arial"/>
          <w:sz w:val="22"/>
        </w:rPr>
        <w:t>(xi</w:t>
      </w:r>
      <w:r w:rsidR="00C4310C">
        <w:rPr>
          <w:rFonts w:ascii="Arial" w:hAnsi="Arial"/>
          <w:sz w:val="22"/>
        </w:rPr>
        <w:t>v</w:t>
      </w:r>
      <w:r>
        <w:rPr>
          <w:rFonts w:ascii="Arial" w:hAnsi="Arial"/>
          <w:sz w:val="22"/>
        </w:rPr>
        <w:t>)</w:t>
      </w:r>
      <w:r>
        <w:rPr>
          <w:rFonts w:ascii="Arial" w:hAnsi="Arial"/>
          <w:sz w:val="22"/>
        </w:rPr>
        <w:tab/>
        <w:t xml:space="preserve">A </w:t>
      </w:r>
      <w:r w:rsidRPr="00867B03">
        <w:rPr>
          <w:rFonts w:ascii="Arial" w:hAnsi="Arial"/>
          <w:sz w:val="22"/>
        </w:rPr>
        <w:t>Declaration</w:t>
      </w:r>
      <w:r>
        <w:rPr>
          <w:rFonts w:ascii="Arial" w:hAnsi="Arial"/>
          <w:sz w:val="22"/>
        </w:rPr>
        <w:t xml:space="preserve">, which constitutes an extended </w:t>
      </w:r>
      <w:r w:rsidR="00220CCE">
        <w:rPr>
          <w:rFonts w:ascii="Arial" w:hAnsi="Arial"/>
          <w:sz w:val="22"/>
        </w:rPr>
        <w:t>HTC</w:t>
      </w:r>
      <w:r>
        <w:rPr>
          <w:rFonts w:ascii="Arial" w:hAnsi="Arial"/>
          <w:sz w:val="22"/>
        </w:rPr>
        <w:t xml:space="preserve"> housing commitment as described in </w:t>
      </w:r>
      <w:r w:rsidR="00792C77">
        <w:rPr>
          <w:rFonts w:ascii="Arial" w:hAnsi="Arial"/>
          <w:sz w:val="22"/>
        </w:rPr>
        <w:t>Section 42(h)(6)</w:t>
      </w:r>
      <w:r w:rsidR="007D79C3">
        <w:rPr>
          <w:rFonts w:ascii="Arial" w:hAnsi="Arial"/>
          <w:sz w:val="22"/>
        </w:rPr>
        <w:t xml:space="preserve"> of the Code</w:t>
      </w:r>
      <w:r w:rsidR="00792C77">
        <w:rPr>
          <w:rFonts w:ascii="Arial" w:hAnsi="Arial"/>
          <w:sz w:val="22"/>
        </w:rPr>
        <w:t xml:space="preserve"> was in effect.</w:t>
      </w:r>
    </w:p>
    <w:p w14:paraId="67F87FAE" w14:textId="77777777" w:rsidR="00C4310C" w:rsidRDefault="00C4310C" w:rsidP="00447737">
      <w:pPr>
        <w:ind w:left="2880"/>
        <w:jc w:val="both"/>
        <w:rPr>
          <w:rFonts w:ascii="Arial" w:hAnsi="Arial"/>
          <w:sz w:val="22"/>
        </w:rPr>
      </w:pPr>
    </w:p>
    <w:p w14:paraId="1CFB714C" w14:textId="3DD3090E" w:rsidR="00043EEF" w:rsidRDefault="00C4310C" w:rsidP="00447737">
      <w:pPr>
        <w:ind w:left="2880"/>
        <w:jc w:val="both"/>
        <w:rPr>
          <w:rFonts w:ascii="Arial" w:hAnsi="Arial"/>
          <w:sz w:val="22"/>
        </w:rPr>
      </w:pPr>
      <w:r>
        <w:rPr>
          <w:rFonts w:ascii="Arial" w:hAnsi="Arial"/>
          <w:sz w:val="22"/>
        </w:rPr>
        <w:t>(xv)</w:t>
      </w:r>
      <w:r>
        <w:rPr>
          <w:rFonts w:ascii="Arial" w:hAnsi="Arial"/>
          <w:sz w:val="22"/>
        </w:rPr>
        <w:tab/>
      </w:r>
      <w:r w:rsidR="00957D4C">
        <w:rPr>
          <w:rFonts w:ascii="Arial" w:hAnsi="Arial"/>
          <w:sz w:val="22"/>
        </w:rPr>
        <w:t>If</w:t>
      </w:r>
      <w:r w:rsidR="00775548">
        <w:rPr>
          <w:rFonts w:ascii="Arial" w:hAnsi="Arial"/>
          <w:sz w:val="22"/>
        </w:rPr>
        <w:t xml:space="preserve"> </w:t>
      </w:r>
      <w:r w:rsidR="00957D4C">
        <w:rPr>
          <w:rFonts w:ascii="Arial" w:hAnsi="Arial" w:cs="Arial"/>
          <w:sz w:val="22"/>
          <w:szCs w:val="22"/>
        </w:rPr>
        <w:t>t</w:t>
      </w:r>
      <w:r w:rsidR="00A1293B" w:rsidRPr="001466DA">
        <w:rPr>
          <w:rFonts w:ascii="Arial" w:hAnsi="Arial" w:cs="Arial"/>
          <w:sz w:val="22"/>
          <w:szCs w:val="22"/>
        </w:rPr>
        <w:t xml:space="preserve">he owner received its </w:t>
      </w:r>
      <w:r w:rsidR="00957D4C">
        <w:rPr>
          <w:rFonts w:ascii="Arial" w:hAnsi="Arial" w:cs="Arial"/>
          <w:sz w:val="22"/>
          <w:szCs w:val="22"/>
        </w:rPr>
        <w:t xml:space="preserve">HTC </w:t>
      </w:r>
      <w:r w:rsidR="00A1293B" w:rsidRPr="001466DA">
        <w:rPr>
          <w:rFonts w:ascii="Arial" w:hAnsi="Arial" w:cs="Arial"/>
          <w:sz w:val="22"/>
          <w:szCs w:val="22"/>
        </w:rPr>
        <w:t>allocation from the portion of the state ceiling set-aside for a project involving</w:t>
      </w:r>
      <w:r w:rsidR="00A1293B">
        <w:rPr>
          <w:rFonts w:ascii="Arial" w:hAnsi="Arial" w:cs="Arial"/>
          <w:sz w:val="22"/>
          <w:szCs w:val="22"/>
        </w:rPr>
        <w:t xml:space="preserve"> </w:t>
      </w:r>
      <w:r w:rsidR="00A1293B" w:rsidRPr="001466DA">
        <w:rPr>
          <w:rFonts w:ascii="Arial" w:hAnsi="Arial" w:cs="Arial"/>
          <w:sz w:val="22"/>
          <w:szCs w:val="22"/>
        </w:rPr>
        <w:t>"qualified non-profit organizations" under Section 42(h)(5) of the Code and its non-profit entity materially</w:t>
      </w:r>
      <w:r w:rsidR="00A1293B">
        <w:rPr>
          <w:rFonts w:ascii="Arial" w:hAnsi="Arial" w:cs="Arial"/>
          <w:sz w:val="22"/>
          <w:szCs w:val="22"/>
        </w:rPr>
        <w:t xml:space="preserve"> </w:t>
      </w:r>
      <w:r w:rsidR="00A1293B" w:rsidRPr="001466DA">
        <w:rPr>
          <w:rFonts w:ascii="Arial" w:hAnsi="Arial" w:cs="Arial"/>
          <w:sz w:val="22"/>
          <w:szCs w:val="22"/>
        </w:rPr>
        <w:t>participated in the operation of the development within the meaning of Section 469(h) of the Code</w:t>
      </w:r>
      <w:r w:rsidR="00B05D75">
        <w:rPr>
          <w:rFonts w:ascii="Arial" w:hAnsi="Arial" w:cs="Arial"/>
          <w:sz w:val="22"/>
          <w:szCs w:val="22"/>
        </w:rPr>
        <w:t>.</w:t>
      </w:r>
      <w:r w:rsidR="00792C77">
        <w:rPr>
          <w:rFonts w:ascii="Arial" w:hAnsi="Arial"/>
          <w:sz w:val="22"/>
        </w:rPr>
        <w:t xml:space="preserve"> </w:t>
      </w:r>
    </w:p>
    <w:p w14:paraId="75363FA8" w14:textId="77777777" w:rsidR="00043EEF" w:rsidRDefault="00043EEF">
      <w:pPr>
        <w:rPr>
          <w:rFonts w:ascii="Arial" w:hAnsi="Arial"/>
          <w:sz w:val="22"/>
        </w:rPr>
      </w:pPr>
    </w:p>
    <w:p w14:paraId="3D350213" w14:textId="77777777" w:rsidR="00043EEF" w:rsidRDefault="00043EEF" w:rsidP="00447737">
      <w:pPr>
        <w:pStyle w:val="Heading1"/>
        <w:rPr>
          <w:rFonts w:ascii="Arial" w:hAnsi="Arial"/>
          <w:sz w:val="22"/>
        </w:rPr>
      </w:pPr>
      <w:r>
        <w:rPr>
          <w:rFonts w:ascii="Arial" w:hAnsi="Arial"/>
          <w:sz w:val="22"/>
        </w:rPr>
        <w:tab/>
      </w:r>
      <w:r w:rsidR="00447737">
        <w:rPr>
          <w:rFonts w:ascii="Arial" w:hAnsi="Arial"/>
          <w:sz w:val="22"/>
        </w:rPr>
        <w:tab/>
      </w:r>
      <w:r w:rsidR="00447737">
        <w:rPr>
          <w:rFonts w:ascii="Arial" w:hAnsi="Arial"/>
          <w:sz w:val="22"/>
        </w:rPr>
        <w:tab/>
      </w:r>
      <w:bookmarkStart w:id="0" w:name="_Hlk2762598"/>
      <w:r w:rsidR="00447737">
        <w:rPr>
          <w:rFonts w:ascii="Arial" w:hAnsi="Arial"/>
          <w:sz w:val="22"/>
        </w:rPr>
        <w:t>(b)</w:t>
      </w:r>
      <w:r>
        <w:rPr>
          <w:rFonts w:ascii="Arial" w:hAnsi="Arial"/>
          <w:sz w:val="22"/>
        </w:rPr>
        <w:tab/>
        <w:t>Review</w:t>
      </w:r>
    </w:p>
    <w:p w14:paraId="359D5810" w14:textId="77777777" w:rsidR="00043EEF" w:rsidRDefault="00043EEF">
      <w:pPr>
        <w:rPr>
          <w:rFonts w:ascii="Arial" w:hAnsi="Arial"/>
          <w:sz w:val="22"/>
        </w:rPr>
      </w:pPr>
    </w:p>
    <w:p w14:paraId="70482A63" w14:textId="16958C9F" w:rsidR="00043EEF" w:rsidRPr="009E6BFE" w:rsidRDefault="00043EEF" w:rsidP="009E6BFE">
      <w:pPr>
        <w:pStyle w:val="BodyTextIndent3"/>
        <w:tabs>
          <w:tab w:val="clear" w:pos="1620"/>
          <w:tab w:val="clear" w:pos="2160"/>
        </w:tabs>
        <w:ind w:left="2160"/>
        <w:jc w:val="both"/>
        <w:rPr>
          <w:rFonts w:ascii="Arial" w:hAnsi="Arial"/>
          <w:sz w:val="22"/>
        </w:rPr>
      </w:pPr>
      <w:r>
        <w:rPr>
          <w:rFonts w:ascii="Arial" w:hAnsi="Arial"/>
          <w:sz w:val="22"/>
        </w:rPr>
        <w:tab/>
      </w:r>
      <w:r w:rsidR="00F178C4" w:rsidRPr="00845F80">
        <w:rPr>
          <w:rFonts w:ascii="Arial" w:hAnsi="Arial"/>
          <w:sz w:val="22"/>
        </w:rPr>
        <w:t>CPED</w:t>
      </w:r>
      <w:r w:rsidRPr="00845F80">
        <w:rPr>
          <w:rFonts w:ascii="Arial" w:hAnsi="Arial"/>
          <w:sz w:val="22"/>
        </w:rPr>
        <w:t xml:space="preserve"> staff and PED staff </w:t>
      </w:r>
      <w:r w:rsidR="00A1293B" w:rsidRPr="00845F80">
        <w:rPr>
          <w:rFonts w:ascii="Arial" w:hAnsi="Arial"/>
          <w:sz w:val="22"/>
        </w:rPr>
        <w:t xml:space="preserve">(or Delegate) </w:t>
      </w:r>
      <w:r w:rsidRPr="00845F80">
        <w:rPr>
          <w:rFonts w:ascii="Arial" w:hAnsi="Arial"/>
          <w:sz w:val="22"/>
        </w:rPr>
        <w:t xml:space="preserve">shall review the certifications </w:t>
      </w:r>
      <w:r w:rsidR="00CF0446" w:rsidRPr="00845F80">
        <w:rPr>
          <w:rFonts w:ascii="Arial" w:hAnsi="Arial"/>
          <w:sz w:val="22"/>
        </w:rPr>
        <w:t xml:space="preserve">and supporting reports and documentation </w:t>
      </w:r>
      <w:r w:rsidRPr="00845F80">
        <w:rPr>
          <w:rFonts w:ascii="Arial" w:hAnsi="Arial"/>
          <w:sz w:val="22"/>
        </w:rPr>
        <w:t xml:space="preserve">submitted </w:t>
      </w:r>
      <w:r w:rsidR="007D79C3" w:rsidRPr="00845F80">
        <w:rPr>
          <w:rFonts w:ascii="Arial" w:hAnsi="Arial"/>
          <w:sz w:val="22"/>
        </w:rPr>
        <w:t xml:space="preserve">by the owner pursuant to Section </w:t>
      </w:r>
      <w:r w:rsidRPr="00845F80">
        <w:rPr>
          <w:rFonts w:ascii="Arial" w:hAnsi="Arial"/>
          <w:sz w:val="22"/>
        </w:rPr>
        <w:t>I</w:t>
      </w:r>
      <w:r w:rsidR="007D79C3" w:rsidRPr="00845F80">
        <w:rPr>
          <w:rFonts w:ascii="Arial" w:hAnsi="Arial"/>
          <w:sz w:val="22"/>
        </w:rPr>
        <w:t>X(2</w:t>
      </w:r>
      <w:r w:rsidRPr="00845F80">
        <w:rPr>
          <w:rFonts w:ascii="Arial" w:hAnsi="Arial"/>
          <w:sz w:val="22"/>
        </w:rPr>
        <w:t>)(</w:t>
      </w:r>
      <w:r w:rsidR="005716C1" w:rsidRPr="00845F80">
        <w:rPr>
          <w:rFonts w:ascii="Arial" w:hAnsi="Arial"/>
          <w:sz w:val="22"/>
        </w:rPr>
        <w:t>a</w:t>
      </w:r>
      <w:r w:rsidRPr="00845F80">
        <w:rPr>
          <w:rFonts w:ascii="Arial" w:hAnsi="Arial"/>
          <w:sz w:val="22"/>
        </w:rPr>
        <w:t>) above for complianc</w:t>
      </w:r>
      <w:r w:rsidR="00792C77" w:rsidRPr="00845F80">
        <w:rPr>
          <w:rFonts w:ascii="Arial" w:hAnsi="Arial"/>
          <w:sz w:val="22"/>
        </w:rPr>
        <w:t xml:space="preserve">e with the requirements of Section </w:t>
      </w:r>
      <w:r w:rsidRPr="00845F80">
        <w:rPr>
          <w:rFonts w:ascii="Arial" w:hAnsi="Arial"/>
          <w:sz w:val="22"/>
        </w:rPr>
        <w:t>42</w:t>
      </w:r>
      <w:r w:rsidR="007D79C3" w:rsidRPr="00845F80">
        <w:rPr>
          <w:rFonts w:ascii="Arial" w:hAnsi="Arial"/>
          <w:sz w:val="22"/>
        </w:rPr>
        <w:t xml:space="preserve"> of the Code</w:t>
      </w:r>
      <w:r w:rsidRPr="00845F80">
        <w:rPr>
          <w:rFonts w:ascii="Arial" w:hAnsi="Arial"/>
          <w:sz w:val="22"/>
        </w:rPr>
        <w:t xml:space="preserve">.  In addition, pursuant to the </w:t>
      </w:r>
      <w:r w:rsidR="009E6BFE" w:rsidRPr="00845F80">
        <w:rPr>
          <w:rFonts w:ascii="Arial" w:hAnsi="Arial"/>
          <w:sz w:val="22"/>
        </w:rPr>
        <w:t>Treasury Regulati</w:t>
      </w:r>
      <w:r w:rsidR="009E6BFE" w:rsidRPr="00845F80">
        <w:rPr>
          <w:rFonts w:ascii="Arial" w:hAnsi="Arial" w:cs="Arial"/>
          <w:sz w:val="22"/>
          <w:szCs w:val="22"/>
        </w:rPr>
        <w:t>on §1.42-</w:t>
      </w:r>
      <w:r w:rsidR="009E6BFE" w:rsidRPr="00845F80">
        <w:rPr>
          <w:rFonts w:ascii="Arial" w:hAnsi="Arial"/>
          <w:sz w:val="22"/>
        </w:rPr>
        <w:t xml:space="preserve">5(c)(2)(ii)(b) and the </w:t>
      </w:r>
      <w:r w:rsidRPr="00845F80">
        <w:rPr>
          <w:rFonts w:ascii="Arial" w:hAnsi="Arial"/>
          <w:sz w:val="22"/>
        </w:rPr>
        <w:t xml:space="preserve">Procedural Manual </w:t>
      </w:r>
      <w:r w:rsidR="00CF0446" w:rsidRPr="00B05D75">
        <w:rPr>
          <w:rFonts w:ascii="Arial" w:hAnsi="Arial"/>
          <w:sz w:val="22"/>
        </w:rPr>
        <w:t xml:space="preserve">at least every three (3) </w:t>
      </w:r>
      <w:proofErr w:type="gramStart"/>
      <w:r w:rsidR="00CF0446" w:rsidRPr="00B05D75">
        <w:rPr>
          <w:rFonts w:ascii="Arial" w:hAnsi="Arial"/>
          <w:sz w:val="22"/>
        </w:rPr>
        <w:t>years;</w:t>
      </w:r>
      <w:proofErr w:type="gramEnd"/>
    </w:p>
    <w:bookmarkEnd w:id="0"/>
    <w:p w14:paraId="1B8F0A3C" w14:textId="77777777" w:rsidR="00043EEF" w:rsidRDefault="00043EEF">
      <w:pPr>
        <w:rPr>
          <w:rFonts w:ascii="Arial" w:hAnsi="Arial"/>
          <w:sz w:val="22"/>
        </w:rPr>
      </w:pPr>
    </w:p>
    <w:p w14:paraId="5988536C" w14:textId="492E0276" w:rsidR="006C2721" w:rsidRDefault="00043EEF" w:rsidP="006C2721">
      <w:pPr>
        <w:ind w:left="2880"/>
        <w:jc w:val="both"/>
        <w:rPr>
          <w:rFonts w:ascii="Arial" w:hAnsi="Arial"/>
          <w:sz w:val="22"/>
        </w:rPr>
      </w:pPr>
      <w:r>
        <w:rPr>
          <w:rFonts w:ascii="Arial" w:hAnsi="Arial"/>
          <w:sz w:val="22"/>
        </w:rPr>
        <w:t>(</w:t>
      </w:r>
      <w:proofErr w:type="spellStart"/>
      <w:r>
        <w:rPr>
          <w:rFonts w:ascii="Arial" w:hAnsi="Arial"/>
          <w:sz w:val="22"/>
        </w:rPr>
        <w:t>i</w:t>
      </w:r>
      <w:proofErr w:type="spellEnd"/>
      <w:r>
        <w:rPr>
          <w:rFonts w:ascii="Arial" w:hAnsi="Arial"/>
          <w:sz w:val="22"/>
        </w:rPr>
        <w:t>)</w:t>
      </w:r>
      <w:r>
        <w:rPr>
          <w:rFonts w:ascii="Arial" w:hAnsi="Arial"/>
          <w:sz w:val="22"/>
        </w:rPr>
        <w:tab/>
      </w:r>
      <w:r w:rsidR="00F178C4" w:rsidRPr="00845F80">
        <w:rPr>
          <w:rFonts w:ascii="Arial" w:hAnsi="Arial"/>
          <w:sz w:val="22"/>
        </w:rPr>
        <w:t>CPED</w:t>
      </w:r>
      <w:r w:rsidRPr="00845F80">
        <w:rPr>
          <w:rFonts w:ascii="Arial" w:hAnsi="Arial"/>
          <w:sz w:val="22"/>
        </w:rPr>
        <w:t xml:space="preserve"> staff and PED staff </w:t>
      </w:r>
      <w:r w:rsidR="00A1293B" w:rsidRPr="00845F80">
        <w:rPr>
          <w:rFonts w:ascii="Arial" w:hAnsi="Arial"/>
          <w:sz w:val="22"/>
        </w:rPr>
        <w:t>(or</w:t>
      </w:r>
      <w:r w:rsidR="005C78EA">
        <w:rPr>
          <w:rFonts w:ascii="Arial" w:hAnsi="Arial"/>
          <w:sz w:val="22"/>
        </w:rPr>
        <w:t xml:space="preserve"> </w:t>
      </w:r>
      <w:r w:rsidR="00A1293B" w:rsidRPr="00845F80">
        <w:rPr>
          <w:rFonts w:ascii="Arial" w:hAnsi="Arial"/>
          <w:sz w:val="22"/>
        </w:rPr>
        <w:t xml:space="preserve">Delegate) </w:t>
      </w:r>
      <w:r w:rsidRPr="00845F80">
        <w:rPr>
          <w:rFonts w:ascii="Arial" w:hAnsi="Arial"/>
          <w:sz w:val="22"/>
        </w:rPr>
        <w:t xml:space="preserve">shall review </w:t>
      </w:r>
      <w:r w:rsidR="00ED2B4A" w:rsidRPr="00845F80">
        <w:rPr>
          <w:rFonts w:ascii="Arial" w:hAnsi="Arial"/>
          <w:sz w:val="22"/>
        </w:rPr>
        <w:t>the tenant file</w:t>
      </w:r>
      <w:r w:rsidR="005C78EA">
        <w:rPr>
          <w:rFonts w:ascii="Arial" w:hAnsi="Arial"/>
          <w:sz w:val="22"/>
        </w:rPr>
        <w:t>s</w:t>
      </w:r>
      <w:r w:rsidR="00ED2B4A" w:rsidRPr="00845F80">
        <w:rPr>
          <w:rFonts w:ascii="Arial" w:hAnsi="Arial"/>
          <w:sz w:val="22"/>
        </w:rPr>
        <w:t xml:space="preserve">, including but not limited to </w:t>
      </w:r>
      <w:r w:rsidRPr="00845F80">
        <w:rPr>
          <w:rFonts w:ascii="Arial" w:hAnsi="Arial"/>
          <w:sz w:val="22"/>
        </w:rPr>
        <w:t>the annual income certification</w:t>
      </w:r>
      <w:r w:rsidR="00CF0446" w:rsidRPr="00845F80">
        <w:rPr>
          <w:rFonts w:ascii="Arial" w:hAnsi="Arial"/>
          <w:sz w:val="22"/>
        </w:rPr>
        <w:t>,</w:t>
      </w:r>
      <w:r w:rsidRPr="00845F80">
        <w:rPr>
          <w:rFonts w:ascii="Arial" w:hAnsi="Arial"/>
          <w:sz w:val="22"/>
        </w:rPr>
        <w:t xml:space="preserve"> the documentation the owner has received to support that certification</w:t>
      </w:r>
      <w:r w:rsidR="00CF0446" w:rsidRPr="00845F80">
        <w:rPr>
          <w:rFonts w:ascii="Arial" w:hAnsi="Arial"/>
          <w:sz w:val="22"/>
        </w:rPr>
        <w:t>,</w:t>
      </w:r>
      <w:r w:rsidRPr="00845F80">
        <w:rPr>
          <w:rFonts w:ascii="Arial" w:hAnsi="Arial"/>
          <w:sz w:val="22"/>
        </w:rPr>
        <w:t xml:space="preserve"> and the rent record for </w:t>
      </w:r>
      <w:r w:rsidR="00CF0446" w:rsidRPr="00845F80">
        <w:rPr>
          <w:rFonts w:ascii="Arial" w:hAnsi="Arial"/>
          <w:sz w:val="22"/>
        </w:rPr>
        <w:t xml:space="preserve">at least 20% of the </w:t>
      </w:r>
      <w:r w:rsidR="005C78EA">
        <w:rPr>
          <w:rFonts w:ascii="Arial" w:hAnsi="Arial"/>
          <w:sz w:val="22"/>
        </w:rPr>
        <w:t xml:space="preserve">HTC </w:t>
      </w:r>
      <w:r w:rsidR="00CF0446" w:rsidRPr="00845F80">
        <w:rPr>
          <w:rFonts w:ascii="Arial" w:hAnsi="Arial"/>
          <w:sz w:val="22"/>
        </w:rPr>
        <w:t>tenants in a project</w:t>
      </w:r>
      <w:r w:rsidR="00B80471" w:rsidRPr="00845F80">
        <w:rPr>
          <w:rFonts w:ascii="Arial" w:hAnsi="Arial"/>
          <w:sz w:val="22"/>
        </w:rPr>
        <w:t xml:space="preserve">.  </w:t>
      </w:r>
      <w:r w:rsidR="005C78EA">
        <w:rPr>
          <w:rFonts w:ascii="Arial" w:hAnsi="Arial"/>
          <w:sz w:val="22"/>
        </w:rPr>
        <w:t xml:space="preserve">For </w:t>
      </w:r>
      <w:r w:rsidR="00B80471" w:rsidRPr="00845F80">
        <w:rPr>
          <w:rFonts w:ascii="Arial" w:hAnsi="Arial"/>
          <w:sz w:val="22"/>
        </w:rPr>
        <w:t xml:space="preserve">projects subject to their first review of tenant files where 100% of the units are low-income, 50% of tenant files will be subject to </w:t>
      </w:r>
      <w:proofErr w:type="gramStart"/>
      <w:r w:rsidR="00B80471" w:rsidRPr="00845F80">
        <w:rPr>
          <w:rFonts w:ascii="Arial" w:hAnsi="Arial"/>
          <w:sz w:val="22"/>
        </w:rPr>
        <w:t>review</w:t>
      </w:r>
      <w:r w:rsidRPr="00845F80">
        <w:rPr>
          <w:rFonts w:ascii="Arial" w:hAnsi="Arial"/>
          <w:sz w:val="22"/>
        </w:rPr>
        <w:t>;</w:t>
      </w:r>
      <w:proofErr w:type="gramEnd"/>
      <w:r w:rsidRPr="00845F80">
        <w:rPr>
          <w:rFonts w:ascii="Arial" w:hAnsi="Arial"/>
          <w:sz w:val="22"/>
        </w:rPr>
        <w:t xml:space="preserve"> </w:t>
      </w:r>
    </w:p>
    <w:p w14:paraId="5DF535D7" w14:textId="77777777" w:rsidR="006C2721" w:rsidRDefault="006C2721" w:rsidP="006C2721">
      <w:pPr>
        <w:ind w:left="2880"/>
        <w:jc w:val="both"/>
        <w:rPr>
          <w:rFonts w:ascii="Arial" w:hAnsi="Arial"/>
          <w:sz w:val="22"/>
        </w:rPr>
      </w:pPr>
    </w:p>
    <w:p w14:paraId="231F709E" w14:textId="4FD8877F" w:rsidR="006C2721" w:rsidRDefault="00043EEF" w:rsidP="006C2721">
      <w:pPr>
        <w:ind w:left="2880"/>
        <w:jc w:val="both"/>
        <w:rPr>
          <w:rFonts w:ascii="Arial" w:hAnsi="Arial"/>
          <w:sz w:val="22"/>
        </w:rPr>
      </w:pPr>
      <w:r>
        <w:rPr>
          <w:rFonts w:ascii="Arial" w:hAnsi="Arial"/>
          <w:sz w:val="22"/>
        </w:rPr>
        <w:t>(ii)</w:t>
      </w:r>
      <w:r>
        <w:rPr>
          <w:rFonts w:ascii="Arial" w:hAnsi="Arial"/>
          <w:sz w:val="22"/>
        </w:rPr>
        <w:tab/>
      </w:r>
      <w:r w:rsidR="00F178C4" w:rsidRPr="00845F80">
        <w:rPr>
          <w:rFonts w:ascii="Arial" w:hAnsi="Arial"/>
          <w:sz w:val="22"/>
        </w:rPr>
        <w:t>CPED</w:t>
      </w:r>
      <w:r w:rsidRPr="00845F80">
        <w:rPr>
          <w:rFonts w:ascii="Arial" w:hAnsi="Arial"/>
          <w:sz w:val="22"/>
        </w:rPr>
        <w:t xml:space="preserve"> staff and PED staff </w:t>
      </w:r>
      <w:r w:rsidR="000E19BC" w:rsidRPr="00845F80">
        <w:rPr>
          <w:rFonts w:ascii="Arial" w:hAnsi="Arial"/>
          <w:sz w:val="22"/>
        </w:rPr>
        <w:t>(or</w:t>
      </w:r>
      <w:r w:rsidR="005C78EA">
        <w:rPr>
          <w:rFonts w:ascii="Arial" w:hAnsi="Arial"/>
          <w:sz w:val="22"/>
        </w:rPr>
        <w:t xml:space="preserve"> </w:t>
      </w:r>
      <w:r w:rsidR="000E19BC" w:rsidRPr="00845F80">
        <w:rPr>
          <w:rFonts w:ascii="Arial" w:hAnsi="Arial"/>
          <w:sz w:val="22"/>
        </w:rPr>
        <w:t xml:space="preserve">Delegate) must physically </w:t>
      </w:r>
      <w:r w:rsidRPr="00845F80">
        <w:rPr>
          <w:rFonts w:ascii="Arial" w:hAnsi="Arial"/>
          <w:sz w:val="22"/>
        </w:rPr>
        <w:t>inspect</w:t>
      </w:r>
      <w:r w:rsidR="000E19BC" w:rsidRPr="00845F80">
        <w:rPr>
          <w:rFonts w:ascii="Arial" w:hAnsi="Arial"/>
          <w:sz w:val="22"/>
        </w:rPr>
        <w:t xml:space="preserve"> all buildings in a project, all common areas, and</w:t>
      </w:r>
      <w:r w:rsidRPr="00845F80">
        <w:rPr>
          <w:rFonts w:ascii="Arial" w:hAnsi="Arial"/>
          <w:sz w:val="22"/>
        </w:rPr>
        <w:t xml:space="preserve"> at least 20% of the</w:t>
      </w:r>
      <w:r w:rsidR="005C78EA">
        <w:rPr>
          <w:rFonts w:ascii="Arial" w:hAnsi="Arial"/>
          <w:sz w:val="22"/>
        </w:rPr>
        <w:t xml:space="preserve"> HTC</w:t>
      </w:r>
      <w:r w:rsidR="000E19BC" w:rsidRPr="00845F80">
        <w:rPr>
          <w:rFonts w:ascii="Arial" w:hAnsi="Arial"/>
          <w:sz w:val="22"/>
        </w:rPr>
        <w:t xml:space="preserve"> units in the project</w:t>
      </w:r>
      <w:r w:rsidRPr="00845F80">
        <w:rPr>
          <w:rFonts w:ascii="Arial" w:hAnsi="Arial"/>
          <w:sz w:val="22"/>
        </w:rPr>
        <w:t xml:space="preserve"> </w:t>
      </w:r>
    </w:p>
    <w:p w14:paraId="4E18FA9F" w14:textId="16C9AB8D" w:rsidR="00043EEF" w:rsidRDefault="006C2721">
      <w:pPr>
        <w:rPr>
          <w:rFonts w:ascii="Arial" w:hAnsi="Arial"/>
          <w:sz w:val="22"/>
        </w:rPr>
      </w:pPr>
      <w:r>
        <w:rPr>
          <w:rFonts w:ascii="Arial" w:hAnsi="Arial"/>
          <w:sz w:val="22"/>
        </w:rPr>
        <w:tab/>
      </w:r>
      <w:r>
        <w:rPr>
          <w:rFonts w:ascii="Arial" w:hAnsi="Arial"/>
          <w:sz w:val="22"/>
        </w:rPr>
        <w:tab/>
      </w:r>
    </w:p>
    <w:p w14:paraId="2F538A64" w14:textId="0D778D9A" w:rsidR="00043EEF" w:rsidRDefault="00043EEF" w:rsidP="006C2721">
      <w:pPr>
        <w:pStyle w:val="BodyTextIndent3"/>
        <w:tabs>
          <w:tab w:val="clear" w:pos="1620"/>
          <w:tab w:val="clear" w:pos="2160"/>
        </w:tabs>
        <w:ind w:left="2160"/>
        <w:jc w:val="both"/>
        <w:rPr>
          <w:rFonts w:ascii="Arial" w:hAnsi="Arial"/>
          <w:sz w:val="22"/>
        </w:rPr>
      </w:pPr>
      <w:r>
        <w:rPr>
          <w:rFonts w:ascii="Arial" w:hAnsi="Arial"/>
          <w:sz w:val="22"/>
        </w:rPr>
        <w:tab/>
      </w:r>
      <w:r w:rsidRPr="00220CCE">
        <w:rPr>
          <w:rFonts w:ascii="Arial" w:hAnsi="Arial"/>
          <w:sz w:val="22"/>
        </w:rPr>
        <w:t xml:space="preserve">If </w:t>
      </w:r>
      <w:r w:rsidR="00F178C4" w:rsidRPr="00220CCE">
        <w:rPr>
          <w:rFonts w:ascii="Arial" w:hAnsi="Arial"/>
          <w:sz w:val="22"/>
        </w:rPr>
        <w:t>CPED</w:t>
      </w:r>
      <w:r w:rsidR="00E102BF" w:rsidRPr="00220CCE">
        <w:rPr>
          <w:rFonts w:ascii="Arial" w:hAnsi="Arial"/>
          <w:sz w:val="22"/>
        </w:rPr>
        <w:t xml:space="preserve"> staff and PED staff </w:t>
      </w:r>
      <w:r w:rsidR="00A1293B">
        <w:rPr>
          <w:rFonts w:ascii="Arial" w:hAnsi="Arial"/>
          <w:sz w:val="22"/>
        </w:rPr>
        <w:t>(or</w:t>
      </w:r>
      <w:r w:rsidR="005C78EA">
        <w:rPr>
          <w:rFonts w:ascii="Arial" w:hAnsi="Arial"/>
          <w:sz w:val="22"/>
        </w:rPr>
        <w:t xml:space="preserve"> </w:t>
      </w:r>
      <w:r w:rsidR="00A1293B">
        <w:rPr>
          <w:rFonts w:ascii="Arial" w:hAnsi="Arial"/>
          <w:sz w:val="22"/>
        </w:rPr>
        <w:t xml:space="preserve">Delegate) </w:t>
      </w:r>
      <w:r w:rsidR="00E102BF" w:rsidRPr="00220CCE">
        <w:rPr>
          <w:rFonts w:ascii="Arial" w:hAnsi="Arial"/>
          <w:sz w:val="22"/>
        </w:rPr>
        <w:t>provide</w:t>
      </w:r>
      <w:r w:rsidRPr="00220CCE">
        <w:rPr>
          <w:rFonts w:ascii="Arial" w:hAnsi="Arial"/>
          <w:sz w:val="22"/>
        </w:rPr>
        <w:t xml:space="preserve"> in the Procedural Manual for the inspection of a reasonable number of projects pursuant to (ii) above, the </w:t>
      </w:r>
      <w:r w:rsidR="00220CCE" w:rsidRPr="00220CCE">
        <w:rPr>
          <w:rFonts w:ascii="Arial" w:hAnsi="Arial"/>
          <w:sz w:val="22"/>
        </w:rPr>
        <w:t>HTC</w:t>
      </w:r>
      <w:r w:rsidRPr="00220CCE">
        <w:rPr>
          <w:rFonts w:ascii="Arial" w:hAnsi="Arial"/>
          <w:sz w:val="22"/>
        </w:rPr>
        <w:t xml:space="preserve"> housing projects to be inspected shall be chosen in a manner that will not give owners of </w:t>
      </w:r>
      <w:r w:rsidR="00220CCE" w:rsidRPr="00220CCE">
        <w:rPr>
          <w:rFonts w:ascii="Arial" w:hAnsi="Arial"/>
          <w:sz w:val="22"/>
        </w:rPr>
        <w:t>HTC</w:t>
      </w:r>
      <w:r w:rsidRPr="00220CCE">
        <w:rPr>
          <w:rFonts w:ascii="Arial" w:hAnsi="Arial"/>
          <w:sz w:val="22"/>
        </w:rPr>
        <w:t xml:space="preserve"> housing projects advance notice that their records for a particular year will or will not be inspected.  However, the</w:t>
      </w:r>
      <w:r w:rsidR="009C75EF">
        <w:rPr>
          <w:rFonts w:ascii="Arial" w:hAnsi="Arial"/>
          <w:sz w:val="22"/>
        </w:rPr>
        <w:t xml:space="preserve"> Delegate</w:t>
      </w:r>
      <w:r w:rsidRPr="00220CCE">
        <w:rPr>
          <w:rFonts w:ascii="Arial" w:hAnsi="Arial"/>
          <w:sz w:val="22"/>
        </w:rPr>
        <w:t xml:space="preserve"> may give an owner reasonable notice that an inspection will occur so that </w:t>
      </w:r>
      <w:r>
        <w:rPr>
          <w:rFonts w:ascii="Arial" w:hAnsi="Arial"/>
          <w:sz w:val="22"/>
        </w:rPr>
        <w:t xml:space="preserve">the owner may assemble records, for example, 30 days advance notice of inspection.  In any event, </w:t>
      </w:r>
      <w:r w:rsidR="00F178C4">
        <w:rPr>
          <w:rFonts w:ascii="Arial" w:hAnsi="Arial"/>
          <w:sz w:val="22"/>
        </w:rPr>
        <w:t>CPED</w:t>
      </w:r>
      <w:r>
        <w:rPr>
          <w:rFonts w:ascii="Arial" w:hAnsi="Arial"/>
          <w:sz w:val="22"/>
        </w:rPr>
        <w:t xml:space="preserve"> staff and PED staff </w:t>
      </w:r>
      <w:r w:rsidR="00A1293B">
        <w:rPr>
          <w:rFonts w:ascii="Arial" w:hAnsi="Arial"/>
          <w:sz w:val="22"/>
        </w:rPr>
        <w:t xml:space="preserve">(or Delegate) </w:t>
      </w:r>
      <w:r>
        <w:rPr>
          <w:rFonts w:ascii="Arial" w:hAnsi="Arial"/>
          <w:sz w:val="22"/>
        </w:rPr>
        <w:t>shall determine which tenants’ records are to be inspected or submitted by the owners for review.</w:t>
      </w:r>
    </w:p>
    <w:p w14:paraId="32F0F5FF" w14:textId="77777777" w:rsidR="00043EEF" w:rsidRDefault="00043EEF" w:rsidP="001750A5">
      <w:pPr>
        <w:jc w:val="both"/>
        <w:rPr>
          <w:rFonts w:ascii="Arial" w:hAnsi="Arial"/>
          <w:sz w:val="22"/>
        </w:rPr>
      </w:pPr>
    </w:p>
    <w:p w14:paraId="6119FF0B" w14:textId="77777777" w:rsidR="00043EEF" w:rsidRDefault="00F555D0" w:rsidP="006C2721">
      <w:pPr>
        <w:pStyle w:val="Heading1"/>
        <w:tabs>
          <w:tab w:val="left" w:pos="1440"/>
        </w:tabs>
        <w:rPr>
          <w:rFonts w:ascii="Arial" w:hAnsi="Arial"/>
          <w:sz w:val="22"/>
        </w:rPr>
      </w:pPr>
      <w:r>
        <w:rPr>
          <w:rFonts w:ascii="Arial" w:hAnsi="Arial"/>
          <w:sz w:val="22"/>
        </w:rPr>
        <w:tab/>
      </w:r>
      <w:r w:rsidR="006C2721">
        <w:rPr>
          <w:rFonts w:ascii="Arial" w:hAnsi="Arial"/>
          <w:sz w:val="22"/>
        </w:rPr>
        <w:t>(3)</w:t>
      </w:r>
      <w:r w:rsidR="00043EEF">
        <w:rPr>
          <w:rFonts w:ascii="Arial" w:hAnsi="Arial"/>
          <w:sz w:val="22"/>
        </w:rPr>
        <w:tab/>
        <w:t>Inspection Provision</w:t>
      </w:r>
    </w:p>
    <w:p w14:paraId="3D5A26CF" w14:textId="77777777" w:rsidR="00043EEF" w:rsidRDefault="00043EEF">
      <w:pPr>
        <w:rPr>
          <w:rFonts w:ascii="Arial" w:hAnsi="Arial"/>
          <w:sz w:val="22"/>
        </w:rPr>
      </w:pPr>
    </w:p>
    <w:p w14:paraId="468F968F" w14:textId="4AE0F93F" w:rsidR="00043EEF" w:rsidRDefault="00043EEF" w:rsidP="006C2721">
      <w:pPr>
        <w:pStyle w:val="BodyTextIndent3"/>
        <w:tabs>
          <w:tab w:val="clear" w:pos="1620"/>
          <w:tab w:val="clear" w:pos="2160"/>
        </w:tabs>
        <w:ind w:left="1440" w:firstLine="720"/>
        <w:jc w:val="both"/>
        <w:rPr>
          <w:rFonts w:ascii="Arial" w:hAnsi="Arial"/>
          <w:sz w:val="22"/>
        </w:rPr>
      </w:pPr>
      <w:r>
        <w:rPr>
          <w:rFonts w:ascii="Arial" w:hAnsi="Arial"/>
          <w:sz w:val="22"/>
        </w:rPr>
        <w:t>The</w:t>
      </w:r>
      <w:r w:rsidR="005C78EA">
        <w:rPr>
          <w:rFonts w:ascii="Arial" w:hAnsi="Arial"/>
          <w:sz w:val="22"/>
        </w:rPr>
        <w:t xml:space="preserve"> </w:t>
      </w:r>
      <w:r w:rsidR="009C75EF">
        <w:rPr>
          <w:rFonts w:ascii="Arial" w:hAnsi="Arial"/>
          <w:sz w:val="22"/>
        </w:rPr>
        <w:t>Delegate</w:t>
      </w:r>
      <w:r>
        <w:rPr>
          <w:rFonts w:ascii="Arial" w:hAnsi="Arial"/>
          <w:sz w:val="22"/>
        </w:rPr>
        <w:t xml:space="preserve"> and the Board shall have the right to inspect </w:t>
      </w:r>
      <w:r w:rsidR="00E102BF">
        <w:rPr>
          <w:rFonts w:ascii="Arial" w:hAnsi="Arial"/>
          <w:sz w:val="22"/>
        </w:rPr>
        <w:t>HTC projects</w:t>
      </w:r>
      <w:r w:rsidR="00845F80">
        <w:rPr>
          <w:rFonts w:ascii="Arial" w:hAnsi="Arial"/>
          <w:sz w:val="22"/>
        </w:rPr>
        <w:t xml:space="preserve"> through the term of the </w:t>
      </w:r>
      <w:r w:rsidR="005C78EA">
        <w:rPr>
          <w:rFonts w:ascii="Arial" w:hAnsi="Arial"/>
          <w:sz w:val="22"/>
        </w:rPr>
        <w:t>Declaration</w:t>
      </w:r>
      <w:r>
        <w:rPr>
          <w:rFonts w:ascii="Arial" w:hAnsi="Arial"/>
          <w:sz w:val="22"/>
        </w:rPr>
        <w:t>.  The inspectio</w:t>
      </w:r>
      <w:r w:rsidR="001750A5">
        <w:rPr>
          <w:rFonts w:ascii="Arial" w:hAnsi="Arial"/>
          <w:sz w:val="22"/>
        </w:rPr>
        <w:t>n provisions of this Section 3</w:t>
      </w:r>
      <w:r>
        <w:rPr>
          <w:rFonts w:ascii="Arial" w:hAnsi="Arial"/>
          <w:sz w:val="22"/>
        </w:rPr>
        <w:t xml:space="preserve"> are required in addition to any inspections of </w:t>
      </w:r>
      <w:r w:rsidR="00867B03">
        <w:rPr>
          <w:rFonts w:ascii="Arial" w:hAnsi="Arial"/>
          <w:sz w:val="22"/>
        </w:rPr>
        <w:t xml:space="preserve">low-income </w:t>
      </w:r>
      <w:r>
        <w:rPr>
          <w:rFonts w:ascii="Arial" w:hAnsi="Arial"/>
          <w:sz w:val="22"/>
        </w:rPr>
        <w:t xml:space="preserve">certifications and </w:t>
      </w:r>
      <w:r w:rsidR="001750A5">
        <w:rPr>
          <w:rFonts w:ascii="Arial" w:hAnsi="Arial"/>
          <w:sz w:val="22"/>
        </w:rPr>
        <w:t>documentation under paragraph 2</w:t>
      </w:r>
      <w:r>
        <w:rPr>
          <w:rFonts w:ascii="Arial" w:hAnsi="Arial"/>
          <w:sz w:val="22"/>
        </w:rPr>
        <w:t>(</w:t>
      </w:r>
      <w:r w:rsidR="005716C1">
        <w:rPr>
          <w:rFonts w:ascii="Arial" w:hAnsi="Arial"/>
          <w:sz w:val="22"/>
        </w:rPr>
        <w:t>b</w:t>
      </w:r>
      <w:r>
        <w:rPr>
          <w:rFonts w:ascii="Arial" w:hAnsi="Arial"/>
          <w:sz w:val="22"/>
        </w:rPr>
        <w:t xml:space="preserve">) of this </w:t>
      </w:r>
      <w:r w:rsidR="001750A5">
        <w:rPr>
          <w:rFonts w:ascii="Arial" w:hAnsi="Arial"/>
          <w:sz w:val="22"/>
        </w:rPr>
        <w:t>Article</w:t>
      </w:r>
      <w:r w:rsidR="00F83F38">
        <w:rPr>
          <w:rFonts w:ascii="Arial" w:hAnsi="Arial"/>
          <w:sz w:val="22"/>
        </w:rPr>
        <w:t xml:space="preserve"> IX.  </w:t>
      </w:r>
    </w:p>
    <w:p w14:paraId="0D8FD11B" w14:textId="77777777" w:rsidR="00F77316" w:rsidRDefault="00F77316">
      <w:pPr>
        <w:pStyle w:val="Heading1"/>
        <w:tabs>
          <w:tab w:val="decimal" w:pos="990"/>
          <w:tab w:val="left" w:pos="1350"/>
        </w:tabs>
        <w:rPr>
          <w:rFonts w:ascii="Arial" w:hAnsi="Arial"/>
          <w:sz w:val="22"/>
        </w:rPr>
      </w:pPr>
    </w:p>
    <w:p w14:paraId="6155B486" w14:textId="77777777" w:rsidR="00043EEF" w:rsidRDefault="001750A5" w:rsidP="006C2721">
      <w:pPr>
        <w:pStyle w:val="Heading1"/>
        <w:tabs>
          <w:tab w:val="decimal" w:pos="990"/>
        </w:tabs>
        <w:rPr>
          <w:rFonts w:ascii="Arial" w:hAnsi="Arial"/>
          <w:sz w:val="22"/>
        </w:rPr>
      </w:pPr>
      <w:r>
        <w:rPr>
          <w:rFonts w:ascii="Arial" w:hAnsi="Arial"/>
          <w:sz w:val="22"/>
        </w:rPr>
        <w:tab/>
      </w:r>
      <w:r w:rsidR="006C2721">
        <w:rPr>
          <w:rFonts w:ascii="Arial" w:hAnsi="Arial"/>
          <w:sz w:val="22"/>
        </w:rPr>
        <w:tab/>
        <w:t>(4)</w:t>
      </w:r>
      <w:r w:rsidR="006C2721">
        <w:rPr>
          <w:rFonts w:ascii="Arial" w:hAnsi="Arial"/>
          <w:sz w:val="22"/>
        </w:rPr>
        <w:tab/>
      </w:r>
      <w:r w:rsidR="00043EEF">
        <w:rPr>
          <w:rFonts w:ascii="Arial" w:hAnsi="Arial"/>
          <w:sz w:val="22"/>
        </w:rPr>
        <w:t xml:space="preserve">Notification of Noncompliance </w:t>
      </w:r>
      <w:r w:rsidR="00043EEF" w:rsidRPr="00353919">
        <w:rPr>
          <w:rFonts w:ascii="Arial" w:hAnsi="Arial"/>
          <w:sz w:val="22"/>
        </w:rPr>
        <w:t>Provisions</w:t>
      </w:r>
      <w:r w:rsidR="00867B03">
        <w:rPr>
          <w:rFonts w:ascii="Arial" w:hAnsi="Arial"/>
          <w:sz w:val="22"/>
        </w:rPr>
        <w:t xml:space="preserve"> </w:t>
      </w:r>
    </w:p>
    <w:p w14:paraId="2FFB6FF8" w14:textId="77777777" w:rsidR="00043EEF" w:rsidRDefault="00043EEF">
      <w:pPr>
        <w:rPr>
          <w:rFonts w:ascii="Arial" w:hAnsi="Arial"/>
          <w:sz w:val="22"/>
        </w:rPr>
      </w:pPr>
    </w:p>
    <w:p w14:paraId="5C033729" w14:textId="381CEF14" w:rsidR="006C2721" w:rsidRDefault="006C2721" w:rsidP="006C2721">
      <w:pPr>
        <w:pStyle w:val="BodyTextIndent3"/>
        <w:tabs>
          <w:tab w:val="clear" w:pos="1620"/>
          <w:tab w:val="clear" w:pos="2160"/>
        </w:tabs>
        <w:ind w:left="2160"/>
        <w:jc w:val="both"/>
        <w:rPr>
          <w:rFonts w:ascii="Arial" w:hAnsi="Arial"/>
          <w:sz w:val="22"/>
        </w:rPr>
      </w:pPr>
      <w:r>
        <w:rPr>
          <w:rFonts w:ascii="Arial" w:hAnsi="Arial"/>
          <w:sz w:val="22"/>
        </w:rPr>
        <w:t>(a)</w:t>
      </w:r>
      <w:r>
        <w:rPr>
          <w:rFonts w:ascii="Arial" w:hAnsi="Arial"/>
          <w:sz w:val="22"/>
        </w:rPr>
        <w:tab/>
      </w:r>
      <w:r w:rsidR="00043EEF">
        <w:rPr>
          <w:rFonts w:ascii="Arial" w:hAnsi="Arial"/>
          <w:sz w:val="22"/>
        </w:rPr>
        <w:t xml:space="preserve">General.  </w:t>
      </w:r>
      <w:r w:rsidR="00F178C4">
        <w:rPr>
          <w:rFonts w:ascii="Arial" w:hAnsi="Arial"/>
          <w:sz w:val="22"/>
        </w:rPr>
        <w:t>CPED</w:t>
      </w:r>
      <w:r w:rsidR="00E102BF">
        <w:rPr>
          <w:rFonts w:ascii="Arial" w:hAnsi="Arial"/>
          <w:sz w:val="22"/>
        </w:rPr>
        <w:t xml:space="preserve"> staff and PED staff </w:t>
      </w:r>
      <w:r w:rsidR="00064467">
        <w:rPr>
          <w:rFonts w:ascii="Arial" w:hAnsi="Arial"/>
          <w:sz w:val="22"/>
        </w:rPr>
        <w:t xml:space="preserve">(or Delegate) </w:t>
      </w:r>
      <w:r w:rsidR="00E102BF">
        <w:rPr>
          <w:rFonts w:ascii="Arial" w:hAnsi="Arial"/>
          <w:sz w:val="22"/>
        </w:rPr>
        <w:t>shall provide</w:t>
      </w:r>
      <w:r w:rsidR="00043EEF">
        <w:rPr>
          <w:rFonts w:ascii="Arial" w:hAnsi="Arial"/>
          <w:sz w:val="22"/>
        </w:rPr>
        <w:t xml:space="preserve"> the notice described in paragraph (</w:t>
      </w:r>
      <w:r w:rsidR="004F3A7D">
        <w:rPr>
          <w:rFonts w:ascii="Arial" w:hAnsi="Arial"/>
          <w:sz w:val="22"/>
        </w:rPr>
        <w:t>b</w:t>
      </w:r>
      <w:r w:rsidR="00043EEF">
        <w:rPr>
          <w:rFonts w:ascii="Arial" w:hAnsi="Arial"/>
          <w:sz w:val="22"/>
        </w:rPr>
        <w:t xml:space="preserve">) of this Section to the owner of </w:t>
      </w:r>
      <w:proofErr w:type="gramStart"/>
      <w:r w:rsidR="00043EEF">
        <w:rPr>
          <w:rFonts w:ascii="Arial" w:hAnsi="Arial"/>
          <w:sz w:val="22"/>
        </w:rPr>
        <w:t>a</w:t>
      </w:r>
      <w:proofErr w:type="gramEnd"/>
      <w:r w:rsidR="00043EEF">
        <w:rPr>
          <w:rFonts w:ascii="Arial" w:hAnsi="Arial"/>
          <w:sz w:val="22"/>
        </w:rPr>
        <w:t xml:space="preserve"> </w:t>
      </w:r>
      <w:r w:rsidR="00E102BF">
        <w:rPr>
          <w:rFonts w:ascii="Arial" w:hAnsi="Arial"/>
          <w:sz w:val="22"/>
        </w:rPr>
        <w:t xml:space="preserve">HTC </w:t>
      </w:r>
      <w:r w:rsidR="00043EEF">
        <w:rPr>
          <w:rFonts w:ascii="Arial" w:hAnsi="Arial"/>
          <w:sz w:val="22"/>
        </w:rPr>
        <w:t xml:space="preserve">project and the notice described in paragraph </w:t>
      </w:r>
      <w:r w:rsidR="00867B03">
        <w:rPr>
          <w:rFonts w:ascii="Arial" w:hAnsi="Arial"/>
          <w:sz w:val="22"/>
        </w:rPr>
        <w:t>(</w:t>
      </w:r>
      <w:r w:rsidR="004F3A7D">
        <w:rPr>
          <w:rFonts w:ascii="Arial" w:hAnsi="Arial"/>
          <w:sz w:val="22"/>
        </w:rPr>
        <w:t>c</w:t>
      </w:r>
      <w:r w:rsidR="00867B03">
        <w:rPr>
          <w:rFonts w:ascii="Arial" w:hAnsi="Arial"/>
          <w:sz w:val="22"/>
        </w:rPr>
        <w:t>) of this S</w:t>
      </w:r>
      <w:r w:rsidR="00043EEF">
        <w:rPr>
          <w:rFonts w:ascii="Arial" w:hAnsi="Arial"/>
          <w:sz w:val="22"/>
        </w:rPr>
        <w:t>ection to the I</w:t>
      </w:r>
      <w:r w:rsidR="00E102BF">
        <w:rPr>
          <w:rFonts w:ascii="Arial" w:hAnsi="Arial"/>
          <w:sz w:val="22"/>
        </w:rPr>
        <w:t>RS</w:t>
      </w:r>
      <w:r w:rsidR="00043EEF">
        <w:rPr>
          <w:rFonts w:ascii="Arial" w:hAnsi="Arial"/>
          <w:sz w:val="22"/>
        </w:rPr>
        <w:t>.</w:t>
      </w:r>
    </w:p>
    <w:p w14:paraId="02681756" w14:textId="77777777" w:rsidR="006C2721" w:rsidRDefault="006C2721" w:rsidP="006C2721">
      <w:pPr>
        <w:pStyle w:val="BodyTextIndent3"/>
        <w:tabs>
          <w:tab w:val="clear" w:pos="1620"/>
          <w:tab w:val="clear" w:pos="2160"/>
        </w:tabs>
        <w:ind w:left="2160"/>
        <w:jc w:val="both"/>
        <w:rPr>
          <w:rFonts w:ascii="Arial" w:hAnsi="Arial"/>
          <w:sz w:val="22"/>
        </w:rPr>
      </w:pPr>
    </w:p>
    <w:p w14:paraId="6E53DFE2" w14:textId="7316BD1B" w:rsidR="006C2721" w:rsidRDefault="006C2721" w:rsidP="006C2721">
      <w:pPr>
        <w:pStyle w:val="BodyTextIndent3"/>
        <w:tabs>
          <w:tab w:val="clear" w:pos="1620"/>
          <w:tab w:val="clear" w:pos="2160"/>
        </w:tabs>
        <w:ind w:left="2160"/>
        <w:jc w:val="both"/>
        <w:rPr>
          <w:rFonts w:ascii="Arial" w:hAnsi="Arial"/>
          <w:sz w:val="22"/>
        </w:rPr>
      </w:pPr>
      <w:r>
        <w:rPr>
          <w:rFonts w:ascii="Arial" w:hAnsi="Arial"/>
          <w:sz w:val="22"/>
        </w:rPr>
        <w:t>(b)</w:t>
      </w:r>
      <w:r w:rsidR="00043EEF">
        <w:rPr>
          <w:rFonts w:ascii="Arial" w:hAnsi="Arial"/>
          <w:sz w:val="22"/>
        </w:rPr>
        <w:tab/>
        <w:t xml:space="preserve">Notice to Owner.  </w:t>
      </w:r>
      <w:r w:rsidR="00F178C4">
        <w:rPr>
          <w:rFonts w:ascii="Arial" w:hAnsi="Arial"/>
          <w:sz w:val="22"/>
        </w:rPr>
        <w:t>CPED</w:t>
      </w:r>
      <w:r w:rsidR="00043EEF">
        <w:rPr>
          <w:rFonts w:ascii="Arial" w:hAnsi="Arial"/>
          <w:sz w:val="22"/>
        </w:rPr>
        <w:t xml:space="preserve"> staff and PED staff </w:t>
      </w:r>
      <w:r w:rsidR="00064467">
        <w:rPr>
          <w:rFonts w:ascii="Arial" w:hAnsi="Arial"/>
          <w:sz w:val="22"/>
        </w:rPr>
        <w:t>(or Delegate</w:t>
      </w:r>
      <w:r w:rsidR="006271D2">
        <w:rPr>
          <w:rFonts w:ascii="Arial" w:hAnsi="Arial"/>
          <w:sz w:val="22"/>
        </w:rPr>
        <w:t>)</w:t>
      </w:r>
      <w:r w:rsidR="00064467">
        <w:rPr>
          <w:rFonts w:ascii="Arial" w:hAnsi="Arial"/>
          <w:sz w:val="22"/>
        </w:rPr>
        <w:t xml:space="preserve"> </w:t>
      </w:r>
      <w:r w:rsidR="00043EEF">
        <w:rPr>
          <w:rFonts w:ascii="Arial" w:hAnsi="Arial"/>
          <w:sz w:val="22"/>
        </w:rPr>
        <w:t>shall provide prompt written notice to the owner</w:t>
      </w:r>
      <w:r w:rsidR="00E102BF">
        <w:rPr>
          <w:rFonts w:ascii="Arial" w:hAnsi="Arial"/>
          <w:sz w:val="22"/>
        </w:rPr>
        <w:t>. If the Board</w:t>
      </w:r>
      <w:r w:rsidR="00043EEF">
        <w:rPr>
          <w:rFonts w:ascii="Arial" w:hAnsi="Arial"/>
          <w:sz w:val="22"/>
        </w:rPr>
        <w:t xml:space="preserve"> does not receive the certification described in Section </w:t>
      </w:r>
      <w:r w:rsidR="00F83F38">
        <w:rPr>
          <w:rFonts w:ascii="Arial" w:hAnsi="Arial"/>
          <w:sz w:val="22"/>
        </w:rPr>
        <w:t>(2)</w:t>
      </w:r>
      <w:r w:rsidR="00043EEF">
        <w:rPr>
          <w:rFonts w:ascii="Arial" w:hAnsi="Arial"/>
          <w:sz w:val="22"/>
        </w:rPr>
        <w:t>(</w:t>
      </w:r>
      <w:r w:rsidR="005716C1">
        <w:rPr>
          <w:rFonts w:ascii="Arial" w:hAnsi="Arial"/>
          <w:sz w:val="22"/>
        </w:rPr>
        <w:t>a</w:t>
      </w:r>
      <w:r w:rsidR="00043EEF">
        <w:rPr>
          <w:rFonts w:ascii="Arial" w:hAnsi="Arial"/>
          <w:sz w:val="22"/>
        </w:rPr>
        <w:t>)</w:t>
      </w:r>
      <w:r w:rsidR="00867B03">
        <w:rPr>
          <w:rFonts w:ascii="Arial" w:hAnsi="Arial"/>
          <w:sz w:val="22"/>
        </w:rPr>
        <w:t xml:space="preserve"> hereof</w:t>
      </w:r>
      <w:r w:rsidR="00043EEF">
        <w:rPr>
          <w:rFonts w:ascii="Arial" w:hAnsi="Arial"/>
          <w:sz w:val="22"/>
        </w:rPr>
        <w:t xml:space="preserve"> or is not permitted to inspect the tenant income certifications, supporting documentation and rent records described in Section </w:t>
      </w:r>
      <w:r w:rsidR="00F83F38">
        <w:rPr>
          <w:rFonts w:ascii="Arial" w:hAnsi="Arial"/>
          <w:sz w:val="22"/>
        </w:rPr>
        <w:t>(2</w:t>
      </w:r>
      <w:r w:rsidR="00043EEF">
        <w:rPr>
          <w:rFonts w:ascii="Arial" w:hAnsi="Arial"/>
          <w:sz w:val="22"/>
        </w:rPr>
        <w:t>)(</w:t>
      </w:r>
      <w:r w:rsidR="004F3A7D">
        <w:rPr>
          <w:rFonts w:ascii="Arial" w:hAnsi="Arial"/>
          <w:sz w:val="22"/>
        </w:rPr>
        <w:t>b</w:t>
      </w:r>
      <w:r w:rsidR="00043EEF">
        <w:rPr>
          <w:rFonts w:ascii="Arial" w:hAnsi="Arial"/>
          <w:sz w:val="22"/>
        </w:rPr>
        <w:t>) or (</w:t>
      </w:r>
      <w:r w:rsidR="004F3A7D">
        <w:rPr>
          <w:rFonts w:ascii="Arial" w:hAnsi="Arial"/>
          <w:sz w:val="22"/>
        </w:rPr>
        <w:t>c</w:t>
      </w:r>
      <w:r w:rsidR="00043EEF">
        <w:rPr>
          <w:rFonts w:ascii="Arial" w:hAnsi="Arial"/>
          <w:sz w:val="22"/>
        </w:rPr>
        <w:t>) hereof or discovers by inspection or review, or in some other manner, that the project is not in compliance wi</w:t>
      </w:r>
      <w:r w:rsidR="00E102BF">
        <w:rPr>
          <w:rFonts w:ascii="Arial" w:hAnsi="Arial"/>
          <w:sz w:val="22"/>
        </w:rPr>
        <w:t xml:space="preserve">th the provisions of Section </w:t>
      </w:r>
      <w:r w:rsidR="00043EEF">
        <w:rPr>
          <w:rFonts w:ascii="Arial" w:hAnsi="Arial"/>
          <w:sz w:val="22"/>
        </w:rPr>
        <w:t>42 of the Code.</w:t>
      </w:r>
    </w:p>
    <w:p w14:paraId="22C0D04D" w14:textId="77777777" w:rsidR="006C2721" w:rsidRDefault="006C2721" w:rsidP="006C2721">
      <w:pPr>
        <w:pStyle w:val="BodyTextIndent3"/>
        <w:tabs>
          <w:tab w:val="clear" w:pos="1620"/>
          <w:tab w:val="clear" w:pos="2160"/>
        </w:tabs>
        <w:ind w:left="2160"/>
        <w:jc w:val="both"/>
        <w:rPr>
          <w:rFonts w:ascii="Arial" w:hAnsi="Arial"/>
          <w:sz w:val="22"/>
        </w:rPr>
      </w:pPr>
    </w:p>
    <w:p w14:paraId="5A03D371" w14:textId="33C6CEF0" w:rsidR="004F3A7D" w:rsidRDefault="004F3A7D" w:rsidP="004F3A7D">
      <w:pPr>
        <w:pStyle w:val="BodyTextIndent3"/>
        <w:tabs>
          <w:tab w:val="clear" w:pos="1620"/>
          <w:tab w:val="clear" w:pos="2160"/>
        </w:tabs>
        <w:ind w:left="2160"/>
        <w:jc w:val="both"/>
        <w:rPr>
          <w:rFonts w:ascii="Arial" w:hAnsi="Arial"/>
          <w:sz w:val="22"/>
        </w:rPr>
      </w:pPr>
      <w:r>
        <w:rPr>
          <w:rFonts w:ascii="Arial" w:hAnsi="Arial"/>
          <w:sz w:val="22"/>
        </w:rPr>
        <w:t>(c)</w:t>
      </w:r>
      <w:r>
        <w:rPr>
          <w:rFonts w:ascii="Arial" w:hAnsi="Arial"/>
          <w:sz w:val="22"/>
        </w:rPr>
        <w:tab/>
      </w:r>
      <w:r w:rsidR="00043EEF">
        <w:rPr>
          <w:rFonts w:ascii="Arial" w:hAnsi="Arial"/>
          <w:sz w:val="22"/>
        </w:rPr>
        <w:t xml:space="preserve">Notice to Internal Revenue Service.  </w:t>
      </w:r>
      <w:r w:rsidR="00F178C4">
        <w:rPr>
          <w:rFonts w:ascii="Arial" w:hAnsi="Arial"/>
          <w:sz w:val="22"/>
        </w:rPr>
        <w:t>CPED</w:t>
      </w:r>
      <w:r w:rsidR="00043EEF">
        <w:rPr>
          <w:rFonts w:ascii="Arial" w:hAnsi="Arial"/>
          <w:sz w:val="22"/>
        </w:rPr>
        <w:t xml:space="preserve"> staff and PED staff, on behalf of the Board shall file Form 8823 Low-Income Housing Credit Agencies Report of </w:t>
      </w:r>
      <w:r w:rsidR="00E102BF">
        <w:rPr>
          <w:rFonts w:ascii="Arial" w:hAnsi="Arial"/>
          <w:sz w:val="22"/>
        </w:rPr>
        <w:t>Noncompliance, with the IRS</w:t>
      </w:r>
      <w:r w:rsidR="00043EEF">
        <w:rPr>
          <w:rFonts w:ascii="Arial" w:hAnsi="Arial"/>
          <w:sz w:val="22"/>
        </w:rPr>
        <w:t xml:space="preserve"> no later th</w:t>
      </w:r>
      <w:r w:rsidR="00E102BF">
        <w:rPr>
          <w:rFonts w:ascii="Arial" w:hAnsi="Arial"/>
          <w:sz w:val="22"/>
        </w:rPr>
        <w:t xml:space="preserve">an 45 days after the end </w:t>
      </w:r>
      <w:r w:rsidR="00043EEF">
        <w:rPr>
          <w:rFonts w:ascii="Arial" w:hAnsi="Arial"/>
          <w:sz w:val="22"/>
        </w:rPr>
        <w:t>of the correction period (as described in paragraph (</w:t>
      </w:r>
      <w:r w:rsidR="006271D2">
        <w:rPr>
          <w:rFonts w:ascii="Arial" w:hAnsi="Arial"/>
          <w:sz w:val="22"/>
        </w:rPr>
        <w:t>d</w:t>
      </w:r>
      <w:r w:rsidR="00043EEF">
        <w:rPr>
          <w:rFonts w:ascii="Arial" w:hAnsi="Arial"/>
          <w:sz w:val="22"/>
        </w:rPr>
        <w:t xml:space="preserve">) of this Section, including extensions permitted under that paragraph) and no earlier than the end of the correction period, whether or not the noncompliance or failure to certify is corrected.  </w:t>
      </w:r>
      <w:r w:rsidR="00F178C4">
        <w:rPr>
          <w:rFonts w:ascii="Arial" w:hAnsi="Arial"/>
          <w:sz w:val="22"/>
        </w:rPr>
        <w:t>CPED</w:t>
      </w:r>
      <w:r w:rsidR="00043EEF">
        <w:rPr>
          <w:rFonts w:ascii="Arial" w:hAnsi="Arial"/>
          <w:sz w:val="22"/>
        </w:rPr>
        <w:t xml:space="preserve"> staff and PED staff </w:t>
      </w:r>
      <w:r w:rsidR="00043EEF">
        <w:rPr>
          <w:rFonts w:ascii="Arial" w:hAnsi="Arial"/>
          <w:sz w:val="22"/>
        </w:rPr>
        <w:lastRenderedPageBreak/>
        <w:t>must explain on Form 8823 the nature of the noncompliance or failure to certify and indicate whether the owner has corrected the noncompliance or failure to certify.  Any change in either the applicable fraction or eligible basis that results in a decrease in the quali</w:t>
      </w:r>
      <w:r w:rsidR="00E102BF">
        <w:rPr>
          <w:rFonts w:ascii="Arial" w:hAnsi="Arial"/>
          <w:sz w:val="22"/>
        </w:rPr>
        <w:t xml:space="preserve">fied basis of a project under Code Section </w:t>
      </w:r>
      <w:r w:rsidR="00043EEF">
        <w:rPr>
          <w:rFonts w:ascii="Arial" w:hAnsi="Arial"/>
          <w:sz w:val="22"/>
        </w:rPr>
        <w:t xml:space="preserve">42(c)(1)(A) is </w:t>
      </w:r>
      <w:r w:rsidR="00E102BF">
        <w:rPr>
          <w:rFonts w:ascii="Arial" w:hAnsi="Arial"/>
          <w:sz w:val="22"/>
        </w:rPr>
        <w:t xml:space="preserve">a </w:t>
      </w:r>
      <w:r w:rsidR="00043EEF">
        <w:rPr>
          <w:rFonts w:ascii="Arial" w:hAnsi="Arial"/>
          <w:sz w:val="22"/>
        </w:rPr>
        <w:t xml:space="preserve">noncompliance that </w:t>
      </w:r>
      <w:r w:rsidR="00E102BF">
        <w:rPr>
          <w:rFonts w:ascii="Arial" w:hAnsi="Arial"/>
          <w:sz w:val="22"/>
        </w:rPr>
        <w:t>must be reported to the</w:t>
      </w:r>
      <w:r w:rsidR="00F83F38">
        <w:rPr>
          <w:rFonts w:ascii="Arial" w:hAnsi="Arial"/>
          <w:sz w:val="22"/>
        </w:rPr>
        <w:t xml:space="preserve"> IRS</w:t>
      </w:r>
      <w:r w:rsidR="00E102BF">
        <w:rPr>
          <w:rFonts w:ascii="Arial" w:hAnsi="Arial"/>
          <w:sz w:val="22"/>
        </w:rPr>
        <w:t xml:space="preserve">.  If </w:t>
      </w:r>
      <w:r w:rsidR="00133988">
        <w:rPr>
          <w:rFonts w:ascii="Arial" w:hAnsi="Arial"/>
          <w:sz w:val="22"/>
        </w:rPr>
        <w:t>CPED</w:t>
      </w:r>
      <w:r w:rsidR="00043EEF">
        <w:rPr>
          <w:rFonts w:ascii="Arial" w:hAnsi="Arial"/>
          <w:sz w:val="22"/>
        </w:rPr>
        <w:t xml:space="preserve"> </w:t>
      </w:r>
      <w:r w:rsidR="008A2BA1">
        <w:rPr>
          <w:rFonts w:ascii="Arial" w:hAnsi="Arial"/>
          <w:sz w:val="22"/>
        </w:rPr>
        <w:t>staff and PED staff reports on F</w:t>
      </w:r>
      <w:r w:rsidR="00043EEF">
        <w:rPr>
          <w:rFonts w:ascii="Arial" w:hAnsi="Arial"/>
          <w:sz w:val="22"/>
        </w:rPr>
        <w:t xml:space="preserve">orm 8823 that a building is entirely out of compliance and will not be </w:t>
      </w:r>
      <w:r w:rsidR="008A2BA1">
        <w:rPr>
          <w:rFonts w:ascii="Arial" w:hAnsi="Arial"/>
          <w:sz w:val="22"/>
        </w:rPr>
        <w:t xml:space="preserve">back </w:t>
      </w:r>
      <w:r w:rsidR="00043EEF">
        <w:rPr>
          <w:rFonts w:ascii="Arial" w:hAnsi="Arial"/>
          <w:sz w:val="22"/>
        </w:rPr>
        <w:t>in compliance at any ti</w:t>
      </w:r>
      <w:r w:rsidR="008A2BA1">
        <w:rPr>
          <w:rFonts w:ascii="Arial" w:hAnsi="Arial"/>
          <w:sz w:val="22"/>
        </w:rPr>
        <w:t>me in the future, the Board is n</w:t>
      </w:r>
      <w:r w:rsidR="00043EEF">
        <w:rPr>
          <w:rFonts w:ascii="Arial" w:hAnsi="Arial"/>
          <w:sz w:val="22"/>
        </w:rPr>
        <w:t xml:space="preserve">ot </w:t>
      </w:r>
      <w:r w:rsidR="008A2BA1">
        <w:rPr>
          <w:rFonts w:ascii="Arial" w:hAnsi="Arial"/>
          <w:sz w:val="22"/>
        </w:rPr>
        <w:t xml:space="preserve">required to </w:t>
      </w:r>
      <w:r w:rsidR="00043EEF">
        <w:rPr>
          <w:rFonts w:ascii="Arial" w:hAnsi="Arial"/>
          <w:sz w:val="22"/>
        </w:rPr>
        <w:t>file Form 8823 in subsequent years to report that building’s noncompliance.</w:t>
      </w:r>
      <w:r>
        <w:rPr>
          <w:rFonts w:ascii="Arial" w:hAnsi="Arial"/>
          <w:sz w:val="22"/>
        </w:rPr>
        <w:t xml:space="preserve"> </w:t>
      </w:r>
    </w:p>
    <w:p w14:paraId="5FD37C1A" w14:textId="77777777" w:rsidR="004F3A7D" w:rsidRDefault="004F3A7D" w:rsidP="004F3A7D">
      <w:pPr>
        <w:pStyle w:val="BodyTextIndent3"/>
        <w:tabs>
          <w:tab w:val="clear" w:pos="1620"/>
          <w:tab w:val="clear" w:pos="2160"/>
        </w:tabs>
        <w:ind w:left="2160"/>
        <w:jc w:val="both"/>
        <w:rPr>
          <w:rFonts w:ascii="Arial" w:hAnsi="Arial"/>
          <w:sz w:val="22"/>
        </w:rPr>
      </w:pPr>
    </w:p>
    <w:p w14:paraId="4F4CDA6B" w14:textId="60247E3B" w:rsidR="004F3A7D" w:rsidRDefault="004F3A7D" w:rsidP="004F3A7D">
      <w:pPr>
        <w:pStyle w:val="BodyTextIndent3"/>
        <w:tabs>
          <w:tab w:val="clear" w:pos="1620"/>
          <w:tab w:val="clear" w:pos="2160"/>
        </w:tabs>
        <w:ind w:left="2160"/>
        <w:jc w:val="both"/>
        <w:rPr>
          <w:rFonts w:ascii="Arial" w:hAnsi="Arial"/>
          <w:sz w:val="22"/>
        </w:rPr>
      </w:pPr>
      <w:r w:rsidRPr="00B15A3E">
        <w:rPr>
          <w:rFonts w:ascii="Arial" w:hAnsi="Arial"/>
          <w:sz w:val="22"/>
        </w:rPr>
        <w:t>(d)</w:t>
      </w:r>
      <w:r w:rsidR="00043EEF" w:rsidRPr="00B15A3E">
        <w:rPr>
          <w:rFonts w:ascii="Arial" w:hAnsi="Arial"/>
          <w:sz w:val="22"/>
        </w:rPr>
        <w:tab/>
        <w:t>Correction Period.  Owner will have an opportunity to supply any missing certifications and bring the project into compliance with the provisions of Section 42 of the Code within a period specified in the notice to the owner</w:t>
      </w:r>
      <w:r w:rsidR="00C32C87" w:rsidRPr="00B15A3E">
        <w:rPr>
          <w:rFonts w:ascii="Arial" w:hAnsi="Arial"/>
          <w:sz w:val="22"/>
        </w:rPr>
        <w:t xml:space="preserve">.  </w:t>
      </w:r>
      <w:r w:rsidR="00C54A82" w:rsidRPr="00B15A3E">
        <w:rPr>
          <w:rFonts w:ascii="Arial" w:hAnsi="Arial"/>
          <w:sz w:val="22"/>
        </w:rPr>
        <w:t>T</w:t>
      </w:r>
      <w:r w:rsidR="00064467" w:rsidRPr="00B15A3E">
        <w:rPr>
          <w:rFonts w:ascii="Arial" w:hAnsi="Arial"/>
          <w:sz w:val="22"/>
        </w:rPr>
        <w:t xml:space="preserve">he correction period will be no more than </w:t>
      </w:r>
      <w:r w:rsidR="00C54A82" w:rsidRPr="00B15A3E">
        <w:rPr>
          <w:rFonts w:ascii="Arial" w:hAnsi="Arial"/>
          <w:sz w:val="22"/>
        </w:rPr>
        <w:t xml:space="preserve">sixty </w:t>
      </w:r>
      <w:r w:rsidR="00064467" w:rsidRPr="00B15A3E">
        <w:rPr>
          <w:rFonts w:ascii="Arial" w:hAnsi="Arial"/>
          <w:sz w:val="22"/>
        </w:rPr>
        <w:t>days</w:t>
      </w:r>
      <w:r w:rsidR="00C32C87" w:rsidRPr="00B15A3E">
        <w:rPr>
          <w:rFonts w:ascii="Arial" w:hAnsi="Arial"/>
          <w:sz w:val="22"/>
        </w:rPr>
        <w:t xml:space="preserve"> </w:t>
      </w:r>
      <w:r w:rsidR="00043EEF" w:rsidRPr="00B15A3E">
        <w:rPr>
          <w:rFonts w:ascii="Arial" w:hAnsi="Arial"/>
          <w:sz w:val="22"/>
        </w:rPr>
        <w:t xml:space="preserve">from the date of </w:t>
      </w:r>
      <w:r w:rsidR="00064467" w:rsidRPr="00B15A3E">
        <w:rPr>
          <w:rFonts w:ascii="Arial" w:hAnsi="Arial"/>
          <w:sz w:val="22"/>
        </w:rPr>
        <w:t xml:space="preserve">the </w:t>
      </w:r>
      <w:r w:rsidR="00043EEF" w:rsidRPr="00B15A3E">
        <w:rPr>
          <w:rFonts w:ascii="Arial" w:hAnsi="Arial"/>
          <w:sz w:val="22"/>
        </w:rPr>
        <w:t xml:space="preserve">notice to the owner described in </w:t>
      </w:r>
      <w:r w:rsidR="00867B03" w:rsidRPr="00B15A3E">
        <w:rPr>
          <w:rFonts w:ascii="Arial" w:hAnsi="Arial"/>
          <w:sz w:val="22"/>
        </w:rPr>
        <w:t>paragraph (</w:t>
      </w:r>
      <w:r w:rsidR="005716C1" w:rsidRPr="00B15A3E">
        <w:rPr>
          <w:rFonts w:ascii="Arial" w:hAnsi="Arial"/>
          <w:sz w:val="22"/>
        </w:rPr>
        <w:t>b</w:t>
      </w:r>
      <w:r w:rsidR="00867B03" w:rsidRPr="00B15A3E">
        <w:rPr>
          <w:rFonts w:ascii="Arial" w:hAnsi="Arial"/>
          <w:sz w:val="22"/>
        </w:rPr>
        <w:t>) of this Section 4</w:t>
      </w:r>
      <w:r w:rsidR="00043EEF" w:rsidRPr="00B15A3E">
        <w:rPr>
          <w:rFonts w:ascii="Arial" w:hAnsi="Arial"/>
          <w:sz w:val="22"/>
        </w:rPr>
        <w:t xml:space="preserve">.  </w:t>
      </w:r>
      <w:r w:rsidR="00133988" w:rsidRPr="00B15A3E">
        <w:rPr>
          <w:rFonts w:ascii="Arial" w:hAnsi="Arial"/>
          <w:sz w:val="22"/>
        </w:rPr>
        <w:t>CPED</w:t>
      </w:r>
      <w:r w:rsidR="00043EEF" w:rsidRPr="00B15A3E">
        <w:rPr>
          <w:rFonts w:ascii="Arial" w:hAnsi="Arial"/>
          <w:sz w:val="22"/>
        </w:rPr>
        <w:t xml:space="preserve"> or PED staff</w:t>
      </w:r>
      <w:r w:rsidR="00064467" w:rsidRPr="00B15A3E">
        <w:rPr>
          <w:rFonts w:ascii="Arial" w:hAnsi="Arial"/>
          <w:sz w:val="22"/>
        </w:rPr>
        <w:t xml:space="preserve"> (or</w:t>
      </w:r>
      <w:r w:rsidR="005C78EA" w:rsidRPr="00B15A3E">
        <w:rPr>
          <w:rFonts w:ascii="Arial" w:hAnsi="Arial"/>
          <w:sz w:val="22"/>
        </w:rPr>
        <w:t xml:space="preserve"> </w:t>
      </w:r>
      <w:r w:rsidR="00064467" w:rsidRPr="00B15A3E">
        <w:rPr>
          <w:rFonts w:ascii="Arial" w:hAnsi="Arial"/>
          <w:sz w:val="22"/>
        </w:rPr>
        <w:t>Delegate)</w:t>
      </w:r>
      <w:r w:rsidR="00043EEF" w:rsidRPr="00B15A3E">
        <w:rPr>
          <w:rFonts w:ascii="Arial" w:hAnsi="Arial"/>
          <w:sz w:val="22"/>
        </w:rPr>
        <w:t xml:space="preserve"> may extend the correction period for up to six </w:t>
      </w:r>
      <w:r w:rsidR="00867B03" w:rsidRPr="00B15A3E">
        <w:rPr>
          <w:rFonts w:ascii="Arial" w:hAnsi="Arial"/>
          <w:sz w:val="22"/>
        </w:rPr>
        <w:t xml:space="preserve">(6) </w:t>
      </w:r>
      <w:r w:rsidR="00043EEF" w:rsidRPr="00B15A3E">
        <w:rPr>
          <w:rFonts w:ascii="Arial" w:hAnsi="Arial"/>
          <w:sz w:val="22"/>
        </w:rPr>
        <w:t>months</w:t>
      </w:r>
      <w:r w:rsidR="00064467" w:rsidRPr="00B15A3E">
        <w:rPr>
          <w:rFonts w:ascii="Arial" w:hAnsi="Arial"/>
          <w:sz w:val="22"/>
        </w:rPr>
        <w:t xml:space="preserve"> upon </w:t>
      </w:r>
      <w:r w:rsidR="00C54A82" w:rsidRPr="00B15A3E">
        <w:rPr>
          <w:rFonts w:ascii="Arial" w:hAnsi="Arial"/>
          <w:sz w:val="22"/>
        </w:rPr>
        <w:t xml:space="preserve">the </w:t>
      </w:r>
      <w:r w:rsidR="00064467" w:rsidRPr="00B15A3E">
        <w:rPr>
          <w:rFonts w:ascii="Arial" w:hAnsi="Arial"/>
          <w:sz w:val="22"/>
        </w:rPr>
        <w:t>written request of the owner</w:t>
      </w:r>
      <w:r w:rsidR="00043EEF" w:rsidRPr="00B15A3E">
        <w:rPr>
          <w:rFonts w:ascii="Arial" w:hAnsi="Arial"/>
          <w:sz w:val="22"/>
        </w:rPr>
        <w:t xml:space="preserve">, but only if </w:t>
      </w:r>
      <w:r w:rsidR="00F178C4" w:rsidRPr="00B15A3E">
        <w:rPr>
          <w:rFonts w:ascii="Arial" w:hAnsi="Arial"/>
          <w:sz w:val="22"/>
        </w:rPr>
        <w:t>CPED</w:t>
      </w:r>
      <w:r w:rsidR="00043EEF" w:rsidRPr="00B15A3E">
        <w:rPr>
          <w:rFonts w:ascii="Arial" w:hAnsi="Arial"/>
          <w:sz w:val="22"/>
        </w:rPr>
        <w:t xml:space="preserve"> or PED staff </w:t>
      </w:r>
      <w:r w:rsidR="00064467" w:rsidRPr="00B15A3E">
        <w:rPr>
          <w:rFonts w:ascii="Arial" w:hAnsi="Arial"/>
          <w:sz w:val="22"/>
        </w:rPr>
        <w:t xml:space="preserve">(or Delegate) </w:t>
      </w:r>
      <w:r w:rsidR="00043EEF" w:rsidRPr="00B15A3E">
        <w:rPr>
          <w:rFonts w:ascii="Arial" w:hAnsi="Arial"/>
          <w:sz w:val="22"/>
        </w:rPr>
        <w:t xml:space="preserve">determines </w:t>
      </w:r>
      <w:r w:rsidR="00C54A82" w:rsidRPr="00B15A3E">
        <w:rPr>
          <w:rFonts w:ascii="Arial" w:hAnsi="Arial"/>
          <w:sz w:val="22"/>
        </w:rPr>
        <w:t xml:space="preserve">that </w:t>
      </w:r>
      <w:r w:rsidR="00043EEF" w:rsidRPr="00B15A3E">
        <w:rPr>
          <w:rFonts w:ascii="Arial" w:hAnsi="Arial"/>
          <w:sz w:val="22"/>
        </w:rPr>
        <w:t xml:space="preserve">there is good cause for granting </w:t>
      </w:r>
      <w:r w:rsidR="00C54A82" w:rsidRPr="00B15A3E">
        <w:rPr>
          <w:rFonts w:ascii="Arial" w:hAnsi="Arial"/>
          <w:sz w:val="22"/>
        </w:rPr>
        <w:t xml:space="preserve">an </w:t>
      </w:r>
      <w:r w:rsidR="00043EEF" w:rsidRPr="00B15A3E">
        <w:rPr>
          <w:rFonts w:ascii="Arial" w:hAnsi="Arial"/>
          <w:sz w:val="22"/>
        </w:rPr>
        <w:t>extension.</w:t>
      </w:r>
      <w:r w:rsidR="009C75EF" w:rsidRPr="00B15A3E">
        <w:rPr>
          <w:rFonts w:ascii="Arial" w:hAnsi="Arial"/>
          <w:sz w:val="22"/>
        </w:rPr>
        <w:t xml:space="preserve"> </w:t>
      </w:r>
      <w:r w:rsidR="00C54A82" w:rsidRPr="00B15A3E">
        <w:rPr>
          <w:rFonts w:ascii="Arial" w:hAnsi="Arial"/>
          <w:sz w:val="22"/>
        </w:rPr>
        <w:t>The Delegate will submit any proposed extension denials to CPED or PED for final determination.</w:t>
      </w:r>
      <w:r w:rsidR="009C75EF" w:rsidRPr="00B15A3E">
        <w:rPr>
          <w:rFonts w:ascii="Arial" w:hAnsi="Arial"/>
          <w:sz w:val="22"/>
        </w:rPr>
        <w:t xml:space="preserve"> The Board may review and notify the IRS of correcti</w:t>
      </w:r>
      <w:r w:rsidR="00685EC9" w:rsidRPr="00B15A3E">
        <w:rPr>
          <w:rFonts w:ascii="Arial" w:hAnsi="Arial"/>
          <w:sz w:val="22"/>
        </w:rPr>
        <w:t>ve action taken</w:t>
      </w:r>
      <w:r w:rsidR="00EC4713" w:rsidRPr="00B15A3E">
        <w:rPr>
          <w:rFonts w:ascii="Arial" w:hAnsi="Arial"/>
          <w:sz w:val="22"/>
        </w:rPr>
        <w:t xml:space="preserve"> by</w:t>
      </w:r>
      <w:r w:rsidR="00685EC9" w:rsidRPr="00B15A3E">
        <w:rPr>
          <w:rFonts w:ascii="Arial" w:hAnsi="Arial"/>
          <w:sz w:val="22"/>
        </w:rPr>
        <w:t xml:space="preserve"> the owner if prov</w:t>
      </w:r>
      <w:r w:rsidR="0070396C" w:rsidRPr="00B15A3E">
        <w:rPr>
          <w:rFonts w:ascii="Arial" w:hAnsi="Arial"/>
          <w:sz w:val="22"/>
        </w:rPr>
        <w:t xml:space="preserve">ided to the Board within 3 years </w:t>
      </w:r>
      <w:r w:rsidR="00685EC9" w:rsidRPr="00B15A3E">
        <w:rPr>
          <w:rFonts w:ascii="Arial" w:hAnsi="Arial"/>
          <w:sz w:val="22"/>
        </w:rPr>
        <w:t>of the Form 8823 filing.</w:t>
      </w:r>
    </w:p>
    <w:p w14:paraId="52642711" w14:textId="77777777" w:rsidR="004F3A7D" w:rsidRDefault="004F3A7D" w:rsidP="004F3A7D">
      <w:pPr>
        <w:pStyle w:val="BodyTextIndent3"/>
        <w:tabs>
          <w:tab w:val="clear" w:pos="1620"/>
          <w:tab w:val="clear" w:pos="2160"/>
        </w:tabs>
        <w:ind w:left="2160"/>
        <w:jc w:val="both"/>
        <w:rPr>
          <w:rFonts w:ascii="Arial" w:hAnsi="Arial"/>
          <w:sz w:val="22"/>
        </w:rPr>
      </w:pPr>
    </w:p>
    <w:p w14:paraId="673B9C1A" w14:textId="41605C4D" w:rsidR="004F3A7D" w:rsidRDefault="004F3A7D" w:rsidP="004F3A7D">
      <w:pPr>
        <w:pStyle w:val="BodyTextIndent3"/>
        <w:tabs>
          <w:tab w:val="clear" w:pos="1620"/>
          <w:tab w:val="clear" w:pos="2160"/>
        </w:tabs>
        <w:ind w:left="2160"/>
        <w:jc w:val="both"/>
        <w:rPr>
          <w:rFonts w:ascii="Arial" w:hAnsi="Arial"/>
          <w:sz w:val="22"/>
        </w:rPr>
      </w:pPr>
      <w:r>
        <w:rPr>
          <w:rFonts w:ascii="Arial" w:hAnsi="Arial"/>
          <w:sz w:val="22"/>
        </w:rPr>
        <w:t>(e)</w:t>
      </w:r>
      <w:r>
        <w:rPr>
          <w:rFonts w:ascii="Arial" w:hAnsi="Arial"/>
          <w:sz w:val="22"/>
        </w:rPr>
        <w:tab/>
      </w:r>
      <w:r w:rsidR="00043EEF">
        <w:rPr>
          <w:rFonts w:ascii="Arial" w:hAnsi="Arial"/>
          <w:sz w:val="22"/>
        </w:rPr>
        <w:t xml:space="preserve">Retention of Records.  </w:t>
      </w:r>
      <w:r w:rsidR="00F178C4">
        <w:rPr>
          <w:rFonts w:ascii="Arial" w:hAnsi="Arial"/>
          <w:sz w:val="22"/>
        </w:rPr>
        <w:t>CPED</w:t>
      </w:r>
      <w:r w:rsidR="00043EEF">
        <w:rPr>
          <w:rFonts w:ascii="Arial" w:hAnsi="Arial"/>
          <w:sz w:val="22"/>
        </w:rPr>
        <w:t xml:space="preserve"> staff and PED staff must retain records of noncompliance or failure to certify for</w:t>
      </w:r>
      <w:r w:rsidR="00F83F38">
        <w:rPr>
          <w:rFonts w:ascii="Arial" w:hAnsi="Arial"/>
          <w:sz w:val="22"/>
        </w:rPr>
        <w:t xml:space="preserve"> </w:t>
      </w:r>
      <w:r w:rsidR="008A2BA1">
        <w:rPr>
          <w:rFonts w:ascii="Arial" w:hAnsi="Arial"/>
          <w:sz w:val="22"/>
        </w:rPr>
        <w:t>six (</w:t>
      </w:r>
      <w:r w:rsidR="00043EEF">
        <w:rPr>
          <w:rFonts w:ascii="Arial" w:hAnsi="Arial"/>
          <w:sz w:val="22"/>
        </w:rPr>
        <w:t>6</w:t>
      </w:r>
      <w:r w:rsidR="0009614C">
        <w:rPr>
          <w:rFonts w:ascii="Arial" w:hAnsi="Arial"/>
          <w:sz w:val="22"/>
        </w:rPr>
        <w:t xml:space="preserve">) </w:t>
      </w:r>
      <w:r w:rsidR="008A2BA1">
        <w:rPr>
          <w:rFonts w:ascii="Arial" w:hAnsi="Arial"/>
          <w:sz w:val="22"/>
        </w:rPr>
        <w:t>years beyond the Board</w:t>
      </w:r>
      <w:r w:rsidR="00043EEF">
        <w:rPr>
          <w:rFonts w:ascii="Arial" w:hAnsi="Arial"/>
          <w:sz w:val="22"/>
        </w:rPr>
        <w:t xml:space="preserve">’s filling of the respective Form 8823.  In all other cases, </w:t>
      </w:r>
      <w:r w:rsidR="00F178C4">
        <w:rPr>
          <w:rFonts w:ascii="Arial" w:hAnsi="Arial"/>
          <w:sz w:val="22"/>
        </w:rPr>
        <w:t>CPED</w:t>
      </w:r>
      <w:r w:rsidR="00043EEF">
        <w:rPr>
          <w:rFonts w:ascii="Arial" w:hAnsi="Arial"/>
          <w:sz w:val="22"/>
        </w:rPr>
        <w:t xml:space="preserve"> staff and PED staff must retain the certifications and records described in Section </w:t>
      </w:r>
      <w:r w:rsidR="0009614C">
        <w:rPr>
          <w:rFonts w:ascii="Arial" w:hAnsi="Arial"/>
          <w:sz w:val="22"/>
        </w:rPr>
        <w:t>IX</w:t>
      </w:r>
      <w:r w:rsidR="006C0C5F">
        <w:rPr>
          <w:rFonts w:ascii="Arial" w:hAnsi="Arial"/>
          <w:sz w:val="22"/>
        </w:rPr>
        <w:t xml:space="preserve"> </w:t>
      </w:r>
      <w:r w:rsidR="00043EEF">
        <w:rPr>
          <w:rFonts w:ascii="Arial" w:hAnsi="Arial"/>
          <w:sz w:val="22"/>
        </w:rPr>
        <w:t xml:space="preserve">of this </w:t>
      </w:r>
      <w:r w:rsidR="008A2BA1">
        <w:rPr>
          <w:rFonts w:ascii="Arial" w:hAnsi="Arial"/>
          <w:sz w:val="22"/>
        </w:rPr>
        <w:t>QA</w:t>
      </w:r>
      <w:r w:rsidR="0009614C">
        <w:rPr>
          <w:rFonts w:ascii="Arial" w:hAnsi="Arial"/>
          <w:sz w:val="22"/>
        </w:rPr>
        <w:t>P for three (3)</w:t>
      </w:r>
      <w:r w:rsidR="00043EEF">
        <w:rPr>
          <w:rFonts w:ascii="Arial" w:hAnsi="Arial"/>
          <w:sz w:val="22"/>
        </w:rPr>
        <w:t xml:space="preserve"> years from the end of the calendar year </w:t>
      </w:r>
      <w:r w:rsidR="00F178C4">
        <w:rPr>
          <w:rFonts w:ascii="Arial" w:hAnsi="Arial"/>
          <w:sz w:val="22"/>
        </w:rPr>
        <w:t>CPED</w:t>
      </w:r>
      <w:r w:rsidR="00043EEF">
        <w:rPr>
          <w:rFonts w:ascii="Arial" w:hAnsi="Arial"/>
          <w:sz w:val="22"/>
        </w:rPr>
        <w:t xml:space="preserve"> staff and PED staff receives the certifications and records.</w:t>
      </w:r>
      <w:r>
        <w:rPr>
          <w:rFonts w:ascii="Arial" w:hAnsi="Arial"/>
          <w:sz w:val="22"/>
        </w:rPr>
        <w:tab/>
      </w:r>
    </w:p>
    <w:p w14:paraId="74E084FB" w14:textId="77777777" w:rsidR="004F3A7D" w:rsidRDefault="004F3A7D" w:rsidP="004F3A7D">
      <w:pPr>
        <w:pStyle w:val="BodyTextIndent3"/>
        <w:tabs>
          <w:tab w:val="clear" w:pos="1620"/>
          <w:tab w:val="clear" w:pos="2160"/>
        </w:tabs>
        <w:ind w:left="2160"/>
        <w:jc w:val="both"/>
        <w:rPr>
          <w:rFonts w:ascii="Arial" w:hAnsi="Arial"/>
          <w:sz w:val="22"/>
        </w:rPr>
      </w:pPr>
    </w:p>
    <w:p w14:paraId="645A94D5" w14:textId="0D7BAC1E" w:rsidR="00043EEF" w:rsidRDefault="004F3A7D" w:rsidP="004F3A7D">
      <w:pPr>
        <w:pStyle w:val="BodyTextIndent3"/>
        <w:tabs>
          <w:tab w:val="clear" w:pos="1620"/>
          <w:tab w:val="clear" w:pos="2160"/>
        </w:tabs>
        <w:ind w:left="2160"/>
        <w:jc w:val="both"/>
        <w:rPr>
          <w:rFonts w:ascii="Arial" w:hAnsi="Arial"/>
          <w:sz w:val="22"/>
        </w:rPr>
      </w:pPr>
      <w:r>
        <w:rPr>
          <w:rFonts w:ascii="Arial" w:hAnsi="Arial"/>
          <w:sz w:val="22"/>
        </w:rPr>
        <w:t>(f)</w:t>
      </w:r>
      <w:r>
        <w:rPr>
          <w:rFonts w:ascii="Arial" w:hAnsi="Arial"/>
          <w:sz w:val="22"/>
        </w:rPr>
        <w:tab/>
      </w:r>
      <w:r w:rsidR="008A2BA1">
        <w:rPr>
          <w:rFonts w:ascii="Arial" w:hAnsi="Arial"/>
          <w:sz w:val="22"/>
        </w:rPr>
        <w:t>O</w:t>
      </w:r>
      <w:r w:rsidR="00043EEF">
        <w:rPr>
          <w:rFonts w:ascii="Arial" w:hAnsi="Arial"/>
          <w:sz w:val="22"/>
        </w:rPr>
        <w:t xml:space="preserve">wners shall provide to </w:t>
      </w:r>
      <w:r w:rsidR="00F178C4">
        <w:rPr>
          <w:rFonts w:ascii="Arial" w:hAnsi="Arial"/>
          <w:sz w:val="22"/>
        </w:rPr>
        <w:t>CPED</w:t>
      </w:r>
      <w:r w:rsidR="00043EEF">
        <w:rPr>
          <w:rFonts w:ascii="Arial" w:hAnsi="Arial"/>
          <w:sz w:val="22"/>
        </w:rPr>
        <w:t xml:space="preserve"> staff or PED staff</w:t>
      </w:r>
      <w:r w:rsidR="00895D33">
        <w:rPr>
          <w:rFonts w:ascii="Arial" w:hAnsi="Arial"/>
          <w:sz w:val="22"/>
        </w:rPr>
        <w:t xml:space="preserve"> (or Delegate)</w:t>
      </w:r>
      <w:r w:rsidR="00043EEF">
        <w:rPr>
          <w:rFonts w:ascii="Arial" w:hAnsi="Arial"/>
          <w:sz w:val="22"/>
        </w:rPr>
        <w:t>, whichever is applicable, any evidence of noncompliance correction and correspondence to or received</w:t>
      </w:r>
      <w:r w:rsidR="008A2BA1">
        <w:rPr>
          <w:rFonts w:ascii="Arial" w:hAnsi="Arial"/>
          <w:sz w:val="22"/>
        </w:rPr>
        <w:t xml:space="preserve"> from the IRS</w:t>
      </w:r>
      <w:r w:rsidR="00043EEF">
        <w:rPr>
          <w:rFonts w:ascii="Arial" w:hAnsi="Arial"/>
          <w:sz w:val="22"/>
        </w:rPr>
        <w:t xml:space="preserve"> with respect to any reported noncompliance.</w:t>
      </w:r>
    </w:p>
    <w:p w14:paraId="020C8EC4" w14:textId="77777777" w:rsidR="00043EEF" w:rsidRDefault="00043EEF">
      <w:pPr>
        <w:rPr>
          <w:rFonts w:ascii="Arial" w:hAnsi="Arial"/>
          <w:sz w:val="22"/>
        </w:rPr>
      </w:pPr>
    </w:p>
    <w:p w14:paraId="36CDB172" w14:textId="77777777" w:rsidR="00043EEF" w:rsidRDefault="002A5AE7" w:rsidP="004F3A7D">
      <w:pPr>
        <w:pStyle w:val="Heading1"/>
        <w:rPr>
          <w:rFonts w:ascii="Arial" w:hAnsi="Arial"/>
          <w:sz w:val="22"/>
          <w:u w:val="single"/>
        </w:rPr>
      </w:pPr>
      <w:r>
        <w:rPr>
          <w:rFonts w:ascii="Arial" w:hAnsi="Arial"/>
          <w:sz w:val="22"/>
        </w:rPr>
        <w:tab/>
      </w:r>
      <w:r w:rsidR="004F3A7D">
        <w:rPr>
          <w:rFonts w:ascii="Arial" w:hAnsi="Arial"/>
          <w:sz w:val="22"/>
        </w:rPr>
        <w:tab/>
        <w:t>(5)</w:t>
      </w:r>
      <w:r w:rsidR="00043EEF">
        <w:rPr>
          <w:rFonts w:ascii="Arial" w:hAnsi="Arial"/>
          <w:sz w:val="22"/>
        </w:rPr>
        <w:tab/>
      </w:r>
      <w:r w:rsidR="00043EEF">
        <w:rPr>
          <w:rFonts w:ascii="Arial" w:hAnsi="Arial"/>
          <w:sz w:val="22"/>
          <w:u w:val="single"/>
        </w:rPr>
        <w:t>Delegation of Authority</w:t>
      </w:r>
    </w:p>
    <w:p w14:paraId="0C1D3DC2" w14:textId="77777777" w:rsidR="00043EEF" w:rsidRDefault="00043EEF">
      <w:pPr>
        <w:rPr>
          <w:rFonts w:ascii="Arial" w:hAnsi="Arial"/>
          <w:sz w:val="22"/>
        </w:rPr>
      </w:pPr>
    </w:p>
    <w:p w14:paraId="58D6EFB3" w14:textId="0093669B" w:rsidR="009B48F6" w:rsidRDefault="00043EEF" w:rsidP="009B48F6">
      <w:pPr>
        <w:pStyle w:val="BodyTextIndent3"/>
        <w:tabs>
          <w:tab w:val="clear" w:pos="1620"/>
          <w:tab w:val="clear" w:pos="2160"/>
        </w:tabs>
        <w:ind w:left="1440"/>
        <w:jc w:val="both"/>
        <w:rPr>
          <w:rFonts w:ascii="Arial" w:hAnsi="Arial"/>
          <w:sz w:val="22"/>
        </w:rPr>
      </w:pPr>
      <w:r>
        <w:rPr>
          <w:rFonts w:ascii="Arial" w:hAnsi="Arial"/>
          <w:sz w:val="22"/>
        </w:rPr>
        <w:tab/>
      </w:r>
      <w:r w:rsidR="004F3A7D" w:rsidRPr="002A3ECC">
        <w:rPr>
          <w:rFonts w:ascii="Arial" w:hAnsi="Arial"/>
          <w:sz w:val="22"/>
        </w:rPr>
        <w:t>(a)</w:t>
      </w:r>
      <w:r w:rsidR="004F3A7D" w:rsidRPr="002A3ECC">
        <w:rPr>
          <w:rFonts w:ascii="Arial" w:hAnsi="Arial"/>
          <w:sz w:val="22"/>
        </w:rPr>
        <w:tab/>
      </w:r>
      <w:r w:rsidRPr="002A3ECC">
        <w:rPr>
          <w:rFonts w:ascii="Arial" w:hAnsi="Arial"/>
          <w:sz w:val="22"/>
          <w:u w:val="single"/>
        </w:rPr>
        <w:t>General</w:t>
      </w:r>
      <w:r w:rsidRPr="002A3ECC">
        <w:rPr>
          <w:rFonts w:ascii="Arial" w:hAnsi="Arial"/>
          <w:sz w:val="22"/>
        </w:rPr>
        <w:t>.</w:t>
      </w:r>
      <w:r w:rsidR="004F3A7D" w:rsidRPr="002A3ECC">
        <w:rPr>
          <w:rFonts w:ascii="Arial" w:hAnsi="Arial"/>
          <w:sz w:val="22"/>
        </w:rPr>
        <w:t xml:space="preserve">  </w:t>
      </w:r>
      <w:r w:rsidR="00C37583" w:rsidRPr="002A3ECC">
        <w:rPr>
          <w:rFonts w:ascii="Arial" w:hAnsi="Arial"/>
          <w:sz w:val="22"/>
        </w:rPr>
        <w:t>The Board</w:t>
      </w:r>
      <w:r w:rsidRPr="002A3ECC">
        <w:rPr>
          <w:rFonts w:ascii="Arial" w:hAnsi="Arial"/>
          <w:sz w:val="22"/>
        </w:rPr>
        <w:t xml:space="preserve"> may retain an agent or other private contractor (the “Delegate”) to perform compliance monitoring.  The Delegate must be unrelated to the owner of any building that the Authorized Delegate monitors.  The Delegate may be delegated </w:t>
      </w:r>
      <w:proofErr w:type="gramStart"/>
      <w:r w:rsidRPr="002A3ECC">
        <w:rPr>
          <w:rFonts w:ascii="Arial" w:hAnsi="Arial"/>
          <w:sz w:val="22"/>
        </w:rPr>
        <w:t>all of</w:t>
      </w:r>
      <w:proofErr w:type="gramEnd"/>
      <w:r w:rsidRPr="002A3ECC">
        <w:rPr>
          <w:rFonts w:ascii="Arial" w:hAnsi="Arial"/>
          <w:sz w:val="22"/>
        </w:rPr>
        <w:t xml:space="preserve"> the functions of the Board to monitor compliance, except for the responsibility of notifying the I</w:t>
      </w:r>
      <w:r w:rsidR="008A2BA1" w:rsidRPr="002A3ECC">
        <w:rPr>
          <w:rFonts w:ascii="Arial" w:hAnsi="Arial"/>
          <w:sz w:val="22"/>
        </w:rPr>
        <w:t xml:space="preserve">RS </w:t>
      </w:r>
      <w:r w:rsidR="00867B03" w:rsidRPr="002A3ECC">
        <w:rPr>
          <w:rFonts w:ascii="Arial" w:hAnsi="Arial"/>
          <w:sz w:val="22"/>
        </w:rPr>
        <w:t>under</w:t>
      </w:r>
      <w:r w:rsidR="00867B03">
        <w:rPr>
          <w:rFonts w:ascii="Arial" w:hAnsi="Arial"/>
          <w:sz w:val="22"/>
        </w:rPr>
        <w:t xml:space="preserve"> Section </w:t>
      </w:r>
      <w:r w:rsidR="00E14786">
        <w:rPr>
          <w:rFonts w:ascii="Arial" w:hAnsi="Arial"/>
          <w:sz w:val="22"/>
        </w:rPr>
        <w:t>(4</w:t>
      </w:r>
      <w:r>
        <w:rPr>
          <w:rFonts w:ascii="Arial" w:hAnsi="Arial"/>
          <w:sz w:val="22"/>
        </w:rPr>
        <w:t xml:space="preserve">) of this Section.  For example, the Delegate may be delegated the responsibility of reviewing tenant certifications and documentation under Section </w:t>
      </w:r>
      <w:r w:rsidR="00E14786">
        <w:rPr>
          <w:rFonts w:ascii="Arial" w:hAnsi="Arial"/>
          <w:sz w:val="22"/>
        </w:rPr>
        <w:t>(2</w:t>
      </w:r>
      <w:r>
        <w:rPr>
          <w:rFonts w:ascii="Arial" w:hAnsi="Arial"/>
          <w:sz w:val="22"/>
        </w:rPr>
        <w:t>)(</w:t>
      </w:r>
      <w:r w:rsidR="005716C1">
        <w:rPr>
          <w:rFonts w:ascii="Arial" w:hAnsi="Arial"/>
          <w:sz w:val="22"/>
        </w:rPr>
        <w:t>b</w:t>
      </w:r>
      <w:r>
        <w:rPr>
          <w:rFonts w:ascii="Arial" w:hAnsi="Arial"/>
          <w:sz w:val="22"/>
        </w:rPr>
        <w:t xml:space="preserve">) hereof, the right of inspect buildings as described in Section </w:t>
      </w:r>
      <w:r w:rsidR="00E14786">
        <w:rPr>
          <w:rFonts w:ascii="Arial" w:hAnsi="Arial"/>
          <w:sz w:val="22"/>
        </w:rPr>
        <w:t>(3</w:t>
      </w:r>
      <w:r>
        <w:rPr>
          <w:rFonts w:ascii="Arial" w:hAnsi="Arial"/>
          <w:sz w:val="22"/>
        </w:rPr>
        <w:t xml:space="preserve">) hereof, and the responsibility of notifying building owners of lack of certification </w:t>
      </w:r>
      <w:r w:rsidR="00E14786">
        <w:rPr>
          <w:rFonts w:ascii="Arial" w:hAnsi="Arial"/>
          <w:sz w:val="22"/>
        </w:rPr>
        <w:t>of noncompliance under S</w:t>
      </w:r>
      <w:r w:rsidR="00867B03">
        <w:rPr>
          <w:rFonts w:ascii="Arial" w:hAnsi="Arial"/>
          <w:sz w:val="22"/>
        </w:rPr>
        <w:t xml:space="preserve">ection </w:t>
      </w:r>
      <w:r w:rsidR="00E14786">
        <w:rPr>
          <w:rFonts w:ascii="Arial" w:hAnsi="Arial"/>
          <w:sz w:val="22"/>
        </w:rPr>
        <w:t>(4</w:t>
      </w:r>
      <w:r>
        <w:rPr>
          <w:rFonts w:ascii="Arial" w:hAnsi="Arial"/>
          <w:sz w:val="22"/>
        </w:rPr>
        <w:t>) hereof.  The Delegate must notify the Board of any noncompliance or failure to certify.</w:t>
      </w:r>
    </w:p>
    <w:p w14:paraId="48B69705" w14:textId="77777777" w:rsidR="009B48F6" w:rsidRDefault="009B48F6" w:rsidP="009B48F6">
      <w:pPr>
        <w:pStyle w:val="BodyTextIndent3"/>
        <w:tabs>
          <w:tab w:val="clear" w:pos="1620"/>
          <w:tab w:val="clear" w:pos="2160"/>
        </w:tabs>
        <w:ind w:left="1440"/>
        <w:jc w:val="both"/>
        <w:rPr>
          <w:rFonts w:ascii="Arial" w:hAnsi="Arial"/>
          <w:sz w:val="22"/>
        </w:rPr>
      </w:pPr>
    </w:p>
    <w:p w14:paraId="1FCC715C" w14:textId="0743B2AC" w:rsidR="009B48F6" w:rsidRDefault="00043EEF" w:rsidP="009B48F6">
      <w:pPr>
        <w:pStyle w:val="BodyTextIndent3"/>
        <w:tabs>
          <w:tab w:val="clear" w:pos="1620"/>
          <w:tab w:val="clear" w:pos="2160"/>
        </w:tabs>
        <w:ind w:left="1440"/>
        <w:jc w:val="both"/>
        <w:rPr>
          <w:rFonts w:ascii="Arial" w:hAnsi="Arial"/>
          <w:sz w:val="22"/>
        </w:rPr>
      </w:pPr>
      <w:r>
        <w:rPr>
          <w:rFonts w:ascii="Arial" w:hAnsi="Arial"/>
          <w:sz w:val="22"/>
        </w:rPr>
        <w:tab/>
      </w:r>
      <w:r w:rsidR="009B48F6">
        <w:rPr>
          <w:rFonts w:ascii="Arial" w:hAnsi="Arial"/>
          <w:sz w:val="22"/>
        </w:rPr>
        <w:t>(b)</w:t>
      </w:r>
      <w:r>
        <w:rPr>
          <w:rFonts w:ascii="Arial" w:hAnsi="Arial"/>
          <w:sz w:val="22"/>
        </w:rPr>
        <w:tab/>
      </w:r>
      <w:r>
        <w:rPr>
          <w:rFonts w:ascii="Arial" w:hAnsi="Arial"/>
          <w:sz w:val="22"/>
          <w:u w:val="single"/>
        </w:rPr>
        <w:t>Limitations</w:t>
      </w:r>
      <w:r>
        <w:rPr>
          <w:rFonts w:ascii="Arial" w:hAnsi="Arial"/>
          <w:sz w:val="22"/>
        </w:rPr>
        <w:t xml:space="preserve">.  In the event the Board delegates compliance monitoring to </w:t>
      </w:r>
      <w:r w:rsidR="004972B4">
        <w:rPr>
          <w:rFonts w:ascii="Arial" w:hAnsi="Arial"/>
          <w:sz w:val="22"/>
        </w:rPr>
        <w:t>a</w:t>
      </w:r>
      <w:r>
        <w:rPr>
          <w:rFonts w:ascii="Arial" w:hAnsi="Arial"/>
          <w:sz w:val="22"/>
        </w:rPr>
        <w:t xml:space="preserve"> Delegate, the Board shall use reasonable diligence to ensure that the Delegate properly performs the delegated monitoring functions.  Delegation by the Board of Compliance monitoring functions to </w:t>
      </w:r>
      <w:r w:rsidR="004972B4">
        <w:rPr>
          <w:rFonts w:ascii="Arial" w:hAnsi="Arial"/>
          <w:sz w:val="22"/>
        </w:rPr>
        <w:t>a</w:t>
      </w:r>
      <w:r w:rsidR="009C75EF">
        <w:rPr>
          <w:rFonts w:ascii="Arial" w:hAnsi="Arial"/>
          <w:sz w:val="22"/>
        </w:rPr>
        <w:t xml:space="preserve"> Delegate</w:t>
      </w:r>
      <w:r w:rsidR="00867B03">
        <w:rPr>
          <w:rFonts w:ascii="Arial" w:hAnsi="Arial"/>
          <w:sz w:val="22"/>
        </w:rPr>
        <w:t xml:space="preserve"> </w:t>
      </w:r>
      <w:r>
        <w:rPr>
          <w:rFonts w:ascii="Arial" w:hAnsi="Arial"/>
          <w:sz w:val="22"/>
        </w:rPr>
        <w:t xml:space="preserve">shall not relieve the </w:t>
      </w:r>
      <w:r>
        <w:rPr>
          <w:rFonts w:ascii="Arial" w:hAnsi="Arial"/>
          <w:sz w:val="22"/>
        </w:rPr>
        <w:lastRenderedPageBreak/>
        <w:t xml:space="preserve">Board of its obligation to notify the </w:t>
      </w:r>
      <w:r w:rsidR="00867B03">
        <w:rPr>
          <w:rFonts w:ascii="Arial" w:hAnsi="Arial"/>
          <w:sz w:val="22"/>
        </w:rPr>
        <w:t xml:space="preserve">IRS </w:t>
      </w:r>
      <w:r>
        <w:rPr>
          <w:rFonts w:ascii="Arial" w:hAnsi="Arial"/>
          <w:sz w:val="22"/>
        </w:rPr>
        <w:t>of any noncompliance of which the Board becomes aware</w:t>
      </w:r>
      <w:r w:rsidR="00867B03">
        <w:rPr>
          <w:rFonts w:ascii="Arial" w:hAnsi="Arial"/>
          <w:sz w:val="22"/>
        </w:rPr>
        <w:t xml:space="preserve"> of</w:t>
      </w:r>
      <w:r>
        <w:rPr>
          <w:rFonts w:ascii="Arial" w:hAnsi="Arial"/>
          <w:sz w:val="22"/>
        </w:rPr>
        <w:t>.</w:t>
      </w:r>
    </w:p>
    <w:p w14:paraId="0125A866" w14:textId="77777777" w:rsidR="009B48F6" w:rsidRDefault="009B48F6" w:rsidP="009B48F6">
      <w:pPr>
        <w:pStyle w:val="BodyTextIndent3"/>
        <w:tabs>
          <w:tab w:val="clear" w:pos="1620"/>
          <w:tab w:val="clear" w:pos="2160"/>
        </w:tabs>
        <w:ind w:left="1440"/>
        <w:jc w:val="both"/>
        <w:rPr>
          <w:rFonts w:ascii="Arial" w:hAnsi="Arial"/>
          <w:sz w:val="22"/>
        </w:rPr>
      </w:pPr>
    </w:p>
    <w:p w14:paraId="1CB9F998" w14:textId="77777777" w:rsidR="00043EEF" w:rsidRDefault="00043EEF" w:rsidP="009B48F6">
      <w:pPr>
        <w:pStyle w:val="BodyTextIndent3"/>
        <w:tabs>
          <w:tab w:val="clear" w:pos="1620"/>
          <w:tab w:val="clear" w:pos="2160"/>
        </w:tabs>
        <w:ind w:left="1440"/>
        <w:jc w:val="both"/>
        <w:rPr>
          <w:rFonts w:ascii="Arial" w:hAnsi="Arial"/>
          <w:sz w:val="22"/>
        </w:rPr>
      </w:pPr>
      <w:r>
        <w:rPr>
          <w:rFonts w:ascii="Arial" w:hAnsi="Arial"/>
          <w:sz w:val="22"/>
        </w:rPr>
        <w:tab/>
      </w:r>
      <w:r w:rsidR="009B48F6">
        <w:rPr>
          <w:rFonts w:ascii="Arial" w:hAnsi="Arial"/>
          <w:sz w:val="22"/>
        </w:rPr>
        <w:t>(c)</w:t>
      </w:r>
      <w:r>
        <w:rPr>
          <w:rFonts w:ascii="Arial" w:hAnsi="Arial"/>
          <w:sz w:val="22"/>
        </w:rPr>
        <w:tab/>
      </w:r>
      <w:r>
        <w:rPr>
          <w:rFonts w:ascii="Arial" w:hAnsi="Arial"/>
          <w:sz w:val="22"/>
          <w:u w:val="single"/>
        </w:rPr>
        <w:t>Liability</w:t>
      </w:r>
      <w:r>
        <w:rPr>
          <w:rFonts w:ascii="Arial" w:hAnsi="Arial"/>
          <w:sz w:val="22"/>
        </w:rPr>
        <w:t>.  Compliance with the re</w:t>
      </w:r>
      <w:r w:rsidR="00B119C4">
        <w:rPr>
          <w:rFonts w:ascii="Arial" w:hAnsi="Arial"/>
          <w:sz w:val="22"/>
        </w:rPr>
        <w:t xml:space="preserve">quirements of Section </w:t>
      </w:r>
      <w:r>
        <w:rPr>
          <w:rFonts w:ascii="Arial" w:hAnsi="Arial"/>
          <w:sz w:val="22"/>
        </w:rPr>
        <w:t xml:space="preserve">42 </w:t>
      </w:r>
      <w:r w:rsidR="00E14786">
        <w:rPr>
          <w:rFonts w:ascii="Arial" w:hAnsi="Arial"/>
          <w:sz w:val="22"/>
        </w:rPr>
        <w:t xml:space="preserve">of the Code </w:t>
      </w:r>
      <w:r>
        <w:rPr>
          <w:rFonts w:ascii="Arial" w:hAnsi="Arial"/>
          <w:sz w:val="22"/>
        </w:rPr>
        <w:t>is the responsibil</w:t>
      </w:r>
      <w:r w:rsidR="00B119C4">
        <w:rPr>
          <w:rFonts w:ascii="Arial" w:hAnsi="Arial"/>
          <w:sz w:val="22"/>
        </w:rPr>
        <w:t>ity of the owner</w:t>
      </w:r>
      <w:r w:rsidR="000E43B7">
        <w:rPr>
          <w:rFonts w:ascii="Arial" w:hAnsi="Arial"/>
          <w:sz w:val="22"/>
        </w:rPr>
        <w:t xml:space="preserve"> of the project for which the </w:t>
      </w:r>
      <w:r w:rsidR="00B119C4">
        <w:rPr>
          <w:rFonts w:ascii="Arial" w:hAnsi="Arial"/>
          <w:sz w:val="22"/>
        </w:rPr>
        <w:t>HTC</w:t>
      </w:r>
      <w:r>
        <w:rPr>
          <w:rFonts w:ascii="Arial" w:hAnsi="Arial"/>
          <w:sz w:val="22"/>
        </w:rPr>
        <w:t xml:space="preserve">s </w:t>
      </w:r>
      <w:r w:rsidR="00E14786">
        <w:rPr>
          <w:rFonts w:ascii="Arial" w:hAnsi="Arial"/>
          <w:sz w:val="22"/>
        </w:rPr>
        <w:t xml:space="preserve">are </w:t>
      </w:r>
      <w:r>
        <w:rPr>
          <w:rFonts w:ascii="Arial" w:hAnsi="Arial"/>
          <w:sz w:val="22"/>
        </w:rPr>
        <w:t>allowable.  The Board’s obligation to monitor for compl</w:t>
      </w:r>
      <w:r w:rsidR="00B119C4">
        <w:rPr>
          <w:rFonts w:ascii="Arial" w:hAnsi="Arial"/>
          <w:sz w:val="22"/>
        </w:rPr>
        <w:t xml:space="preserve">iance with the requirements of Section </w:t>
      </w:r>
      <w:r>
        <w:rPr>
          <w:rFonts w:ascii="Arial" w:hAnsi="Arial"/>
          <w:sz w:val="22"/>
        </w:rPr>
        <w:t xml:space="preserve">42 </w:t>
      </w:r>
      <w:r w:rsidR="00E14786">
        <w:rPr>
          <w:rFonts w:ascii="Arial" w:hAnsi="Arial"/>
          <w:sz w:val="22"/>
        </w:rPr>
        <w:t xml:space="preserve">of the Code </w:t>
      </w:r>
      <w:r>
        <w:rPr>
          <w:rFonts w:ascii="Arial" w:hAnsi="Arial"/>
          <w:sz w:val="22"/>
        </w:rPr>
        <w:t>does not make the Board liable for an owner’s noncompliance.</w:t>
      </w:r>
    </w:p>
    <w:p w14:paraId="25A8F9F6" w14:textId="77777777" w:rsidR="00043EEF" w:rsidRDefault="00043EEF">
      <w:pPr>
        <w:rPr>
          <w:rFonts w:ascii="Arial" w:hAnsi="Arial"/>
          <w:sz w:val="22"/>
        </w:rPr>
      </w:pPr>
    </w:p>
    <w:p w14:paraId="5E8A2B1E" w14:textId="77777777" w:rsidR="00043EEF" w:rsidRDefault="00043EEF" w:rsidP="009B48F6">
      <w:pPr>
        <w:pStyle w:val="Heading1"/>
        <w:rPr>
          <w:rFonts w:ascii="Arial" w:hAnsi="Arial"/>
          <w:sz w:val="22"/>
          <w:u w:val="single"/>
        </w:rPr>
      </w:pPr>
      <w:r>
        <w:rPr>
          <w:rFonts w:ascii="Arial" w:hAnsi="Arial"/>
          <w:sz w:val="22"/>
        </w:rPr>
        <w:tab/>
      </w:r>
      <w:r w:rsidR="009B48F6">
        <w:rPr>
          <w:rFonts w:ascii="Arial" w:hAnsi="Arial"/>
          <w:sz w:val="22"/>
        </w:rPr>
        <w:tab/>
        <w:t>(6)</w:t>
      </w:r>
      <w:r w:rsidR="009B48F6">
        <w:rPr>
          <w:rFonts w:ascii="Arial" w:hAnsi="Arial"/>
          <w:sz w:val="22"/>
        </w:rPr>
        <w:tab/>
      </w:r>
      <w:r>
        <w:rPr>
          <w:rFonts w:ascii="Arial" w:hAnsi="Arial"/>
          <w:sz w:val="22"/>
          <w:u w:val="single"/>
        </w:rPr>
        <w:t>Fees</w:t>
      </w:r>
      <w:r>
        <w:rPr>
          <w:rFonts w:ascii="Arial" w:hAnsi="Arial"/>
          <w:sz w:val="22"/>
        </w:rPr>
        <w:t>.</w:t>
      </w:r>
    </w:p>
    <w:p w14:paraId="75A510CC" w14:textId="77777777" w:rsidR="00043EEF" w:rsidRDefault="00043EEF">
      <w:pPr>
        <w:rPr>
          <w:rFonts w:ascii="Arial" w:hAnsi="Arial"/>
          <w:sz w:val="22"/>
        </w:rPr>
      </w:pPr>
    </w:p>
    <w:p w14:paraId="58826409" w14:textId="18B80490" w:rsidR="00043EEF" w:rsidRDefault="00B119C4" w:rsidP="009B48F6">
      <w:pPr>
        <w:pStyle w:val="BodyText"/>
        <w:tabs>
          <w:tab w:val="clear" w:pos="720"/>
          <w:tab w:val="clear" w:pos="1260"/>
        </w:tabs>
        <w:ind w:left="1440"/>
        <w:jc w:val="both"/>
        <w:rPr>
          <w:rFonts w:ascii="Arial" w:hAnsi="Arial"/>
          <w:sz w:val="22"/>
        </w:rPr>
      </w:pPr>
      <w:r>
        <w:rPr>
          <w:rFonts w:ascii="Arial" w:hAnsi="Arial"/>
          <w:sz w:val="22"/>
        </w:rPr>
        <w:tab/>
        <w:t>The o</w:t>
      </w:r>
      <w:r w:rsidR="00043EEF">
        <w:rPr>
          <w:rFonts w:ascii="Arial" w:hAnsi="Arial"/>
          <w:sz w:val="22"/>
        </w:rPr>
        <w:t xml:space="preserve">wner will be required to pay </w:t>
      </w:r>
      <w:r w:rsidR="00F178C4">
        <w:rPr>
          <w:rFonts w:ascii="Arial" w:hAnsi="Arial"/>
          <w:sz w:val="22"/>
        </w:rPr>
        <w:t>CPED</w:t>
      </w:r>
      <w:r w:rsidR="00043EEF">
        <w:rPr>
          <w:rFonts w:ascii="Arial" w:hAnsi="Arial"/>
          <w:sz w:val="22"/>
        </w:rPr>
        <w:t xml:space="preserve"> or HRA or their </w:t>
      </w:r>
      <w:r w:rsidR="009C75EF">
        <w:rPr>
          <w:rFonts w:ascii="Arial" w:hAnsi="Arial"/>
          <w:sz w:val="22"/>
        </w:rPr>
        <w:t>Delegate</w:t>
      </w:r>
      <w:r w:rsidR="00043EEF">
        <w:rPr>
          <w:rFonts w:ascii="Arial" w:hAnsi="Arial"/>
          <w:sz w:val="22"/>
        </w:rPr>
        <w:t xml:space="preserve"> a monitoring fee as </w:t>
      </w:r>
      <w:r w:rsidR="00867B03">
        <w:rPr>
          <w:rFonts w:ascii="Arial" w:hAnsi="Arial"/>
          <w:sz w:val="22"/>
        </w:rPr>
        <w:t xml:space="preserve">set forth in </w:t>
      </w:r>
      <w:r w:rsidR="00895D33">
        <w:rPr>
          <w:rFonts w:ascii="Arial" w:hAnsi="Arial"/>
          <w:sz w:val="22"/>
        </w:rPr>
        <w:t>the Compliance Manual</w:t>
      </w:r>
      <w:r w:rsidR="00043EEF">
        <w:rPr>
          <w:rFonts w:ascii="Arial" w:hAnsi="Arial"/>
          <w:sz w:val="22"/>
        </w:rPr>
        <w:t>.</w:t>
      </w:r>
      <w:r w:rsidR="00E14786">
        <w:rPr>
          <w:rFonts w:ascii="Arial" w:hAnsi="Arial"/>
          <w:sz w:val="22"/>
        </w:rPr>
        <w:t xml:space="preserve">  </w:t>
      </w:r>
    </w:p>
    <w:p w14:paraId="68D210E9" w14:textId="77777777" w:rsidR="0070396C" w:rsidRDefault="0070396C" w:rsidP="009B48F6">
      <w:pPr>
        <w:pStyle w:val="BodyText"/>
        <w:tabs>
          <w:tab w:val="clear" w:pos="720"/>
          <w:tab w:val="clear" w:pos="1260"/>
        </w:tabs>
        <w:ind w:left="1440"/>
        <w:jc w:val="both"/>
        <w:rPr>
          <w:rFonts w:ascii="Arial" w:hAnsi="Arial"/>
          <w:sz w:val="22"/>
        </w:rPr>
      </w:pPr>
    </w:p>
    <w:p w14:paraId="5DDFAF9B" w14:textId="77777777" w:rsidR="00043EEF" w:rsidRDefault="00043EEF">
      <w:pPr>
        <w:rPr>
          <w:rFonts w:ascii="Arial" w:hAnsi="Arial"/>
          <w:sz w:val="22"/>
        </w:rPr>
      </w:pPr>
    </w:p>
    <w:p w14:paraId="6960BBE7" w14:textId="77777777" w:rsidR="00043EEF" w:rsidRDefault="00043EEF" w:rsidP="009B48F6">
      <w:pPr>
        <w:pStyle w:val="Heading1"/>
        <w:rPr>
          <w:rFonts w:ascii="Arial" w:hAnsi="Arial"/>
          <w:sz w:val="22"/>
          <w:u w:val="single"/>
        </w:rPr>
      </w:pPr>
      <w:r>
        <w:rPr>
          <w:rFonts w:ascii="Arial" w:hAnsi="Arial"/>
          <w:sz w:val="22"/>
        </w:rPr>
        <w:tab/>
      </w:r>
      <w:r w:rsidR="009B48F6">
        <w:rPr>
          <w:rFonts w:ascii="Arial" w:hAnsi="Arial"/>
          <w:sz w:val="22"/>
        </w:rPr>
        <w:tab/>
        <w:t>(7)</w:t>
      </w:r>
      <w:r>
        <w:rPr>
          <w:rFonts w:ascii="Arial" w:hAnsi="Arial"/>
          <w:sz w:val="22"/>
        </w:rPr>
        <w:tab/>
      </w:r>
      <w:r>
        <w:rPr>
          <w:rFonts w:ascii="Arial" w:hAnsi="Arial"/>
          <w:sz w:val="22"/>
          <w:u w:val="single"/>
        </w:rPr>
        <w:t>Owner Responsible for Compliance</w:t>
      </w:r>
      <w:r>
        <w:rPr>
          <w:rFonts w:ascii="Arial" w:hAnsi="Arial"/>
          <w:sz w:val="22"/>
        </w:rPr>
        <w:t>.</w:t>
      </w:r>
    </w:p>
    <w:p w14:paraId="3F156AA7" w14:textId="77777777" w:rsidR="00043EEF" w:rsidRDefault="00043EEF">
      <w:pPr>
        <w:rPr>
          <w:rFonts w:ascii="Arial" w:hAnsi="Arial"/>
          <w:sz w:val="22"/>
        </w:rPr>
      </w:pPr>
    </w:p>
    <w:p w14:paraId="33A96B6D" w14:textId="77777777" w:rsidR="00043EEF" w:rsidRDefault="00867B03" w:rsidP="009B48F6">
      <w:pPr>
        <w:pStyle w:val="BodyText"/>
        <w:tabs>
          <w:tab w:val="clear" w:pos="720"/>
          <w:tab w:val="clear" w:pos="1260"/>
        </w:tabs>
        <w:ind w:left="1440"/>
        <w:jc w:val="both"/>
        <w:rPr>
          <w:rFonts w:ascii="Arial" w:hAnsi="Arial"/>
          <w:sz w:val="22"/>
        </w:rPr>
      </w:pPr>
      <w:r>
        <w:rPr>
          <w:rFonts w:ascii="Arial" w:hAnsi="Arial"/>
          <w:sz w:val="22"/>
        </w:rPr>
        <w:tab/>
        <w:t>The o</w:t>
      </w:r>
      <w:r w:rsidR="00043EEF">
        <w:rPr>
          <w:rFonts w:ascii="Arial" w:hAnsi="Arial"/>
          <w:sz w:val="22"/>
        </w:rPr>
        <w:t xml:space="preserve">wner is solely responsible for ensuring </w:t>
      </w:r>
      <w:r>
        <w:rPr>
          <w:rFonts w:ascii="Arial" w:hAnsi="Arial"/>
          <w:sz w:val="22"/>
        </w:rPr>
        <w:t xml:space="preserve">that a </w:t>
      </w:r>
      <w:r w:rsidR="00E14786">
        <w:rPr>
          <w:rFonts w:ascii="Arial" w:hAnsi="Arial"/>
          <w:sz w:val="22"/>
        </w:rPr>
        <w:t xml:space="preserve">project is all times in </w:t>
      </w:r>
      <w:r w:rsidR="00043EEF">
        <w:rPr>
          <w:rFonts w:ascii="Arial" w:hAnsi="Arial"/>
          <w:sz w:val="22"/>
        </w:rPr>
        <w:t xml:space="preserve">compliance </w:t>
      </w:r>
      <w:r w:rsidR="00E14786">
        <w:rPr>
          <w:rFonts w:ascii="Arial" w:hAnsi="Arial"/>
          <w:sz w:val="22"/>
        </w:rPr>
        <w:t>with Section 42 of the Code.</w:t>
      </w:r>
      <w:r w:rsidR="00043EEF">
        <w:rPr>
          <w:rFonts w:ascii="Arial" w:hAnsi="Arial"/>
          <w:sz w:val="22"/>
        </w:rPr>
        <w:t xml:space="preserve">  Th</w:t>
      </w:r>
      <w:r w:rsidR="007A71DE">
        <w:rPr>
          <w:rFonts w:ascii="Arial" w:hAnsi="Arial"/>
          <w:sz w:val="22"/>
        </w:rPr>
        <w:t>e</w:t>
      </w:r>
      <w:r w:rsidR="00043EEF">
        <w:rPr>
          <w:rFonts w:ascii="Arial" w:hAnsi="Arial"/>
          <w:sz w:val="22"/>
        </w:rPr>
        <w:t xml:space="preserve"> procedure</w:t>
      </w:r>
      <w:r w:rsidR="007A71DE">
        <w:rPr>
          <w:rFonts w:ascii="Arial" w:hAnsi="Arial"/>
          <w:sz w:val="22"/>
        </w:rPr>
        <w:t>s</w:t>
      </w:r>
      <w:r w:rsidR="00043EEF">
        <w:rPr>
          <w:rFonts w:ascii="Arial" w:hAnsi="Arial"/>
          <w:sz w:val="22"/>
        </w:rPr>
        <w:t xml:space="preserve"> established </w:t>
      </w:r>
      <w:r w:rsidR="007A71DE">
        <w:rPr>
          <w:rFonts w:ascii="Arial" w:hAnsi="Arial"/>
          <w:sz w:val="22"/>
        </w:rPr>
        <w:t xml:space="preserve">in this Article IX are </w:t>
      </w:r>
      <w:r w:rsidR="00043EEF">
        <w:rPr>
          <w:rFonts w:ascii="Arial" w:hAnsi="Arial"/>
          <w:sz w:val="22"/>
        </w:rPr>
        <w:t>solely for purposes of establishing the Board’s compliance with Section 42(m)(1)(B)(iii) of</w:t>
      </w:r>
      <w:r w:rsidR="007A71DE">
        <w:rPr>
          <w:rFonts w:ascii="Arial" w:hAnsi="Arial"/>
          <w:sz w:val="22"/>
        </w:rPr>
        <w:t xml:space="preserve"> the Code, and shall not be deem</w:t>
      </w:r>
      <w:r w:rsidR="00043EEF">
        <w:rPr>
          <w:rFonts w:ascii="Arial" w:hAnsi="Arial"/>
          <w:sz w:val="22"/>
        </w:rPr>
        <w:t>ed in any wa</w:t>
      </w:r>
      <w:r w:rsidR="007A71DE">
        <w:rPr>
          <w:rFonts w:ascii="Arial" w:hAnsi="Arial"/>
          <w:sz w:val="22"/>
        </w:rPr>
        <w:t>y to be for the benefit of any o</w:t>
      </w:r>
      <w:r w:rsidR="00043EEF">
        <w:rPr>
          <w:rFonts w:ascii="Arial" w:hAnsi="Arial"/>
          <w:sz w:val="22"/>
        </w:rPr>
        <w:t xml:space="preserve">wner, developer, any partner </w:t>
      </w:r>
      <w:r w:rsidR="007A71DE">
        <w:rPr>
          <w:rFonts w:ascii="Arial" w:hAnsi="Arial"/>
          <w:sz w:val="22"/>
        </w:rPr>
        <w:t>thereof or investor therein, and</w:t>
      </w:r>
      <w:r w:rsidR="00043EEF">
        <w:rPr>
          <w:rFonts w:ascii="Arial" w:hAnsi="Arial"/>
          <w:sz w:val="22"/>
        </w:rPr>
        <w:t xml:space="preserve"> may not be relied upon or used in connection with any offering to any such person of interests in the equity own</w:t>
      </w:r>
      <w:r w:rsidR="007A71DE">
        <w:rPr>
          <w:rFonts w:ascii="Arial" w:hAnsi="Arial"/>
          <w:sz w:val="22"/>
        </w:rPr>
        <w:t xml:space="preserve">ership in </w:t>
      </w:r>
      <w:r w:rsidR="00043EEF">
        <w:rPr>
          <w:rFonts w:ascii="Arial" w:hAnsi="Arial"/>
          <w:sz w:val="22"/>
        </w:rPr>
        <w:t>the project.</w:t>
      </w:r>
    </w:p>
    <w:p w14:paraId="058AF783" w14:textId="77777777" w:rsidR="00E93BFA" w:rsidRDefault="00E93BFA">
      <w:pPr>
        <w:pStyle w:val="BodyText"/>
        <w:tabs>
          <w:tab w:val="clear" w:pos="1260"/>
          <w:tab w:val="left" w:pos="720"/>
        </w:tabs>
        <w:rPr>
          <w:rFonts w:ascii="Arial" w:hAnsi="Arial"/>
          <w:sz w:val="22"/>
        </w:rPr>
      </w:pPr>
    </w:p>
    <w:sectPr w:rsidR="00E93BFA" w:rsidSect="005934EF">
      <w:footerReference w:type="default" r:id="rId17"/>
      <w:pgSz w:w="12240" w:h="15840" w:code="1"/>
      <w:pgMar w:top="1440" w:right="1440" w:bottom="117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FAB08" w14:textId="77777777" w:rsidR="009734B7" w:rsidRDefault="009734B7">
      <w:r>
        <w:separator/>
      </w:r>
    </w:p>
  </w:endnote>
  <w:endnote w:type="continuationSeparator" w:id="0">
    <w:p w14:paraId="155A0BFB" w14:textId="77777777" w:rsidR="009734B7" w:rsidRDefault="009734B7">
      <w:r>
        <w:continuationSeparator/>
      </w:r>
    </w:p>
  </w:endnote>
  <w:endnote w:type="continuationNotice" w:id="1">
    <w:p w14:paraId="6738B6E6" w14:textId="77777777" w:rsidR="009734B7" w:rsidRDefault="009734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8516C" w14:textId="77777777" w:rsidR="001376E6" w:rsidRDefault="001376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644E1" w14:textId="77777777" w:rsidR="000D2FCD" w:rsidRDefault="000D2FCD" w:rsidP="005934EF">
    <w:pPr>
      <w:pStyle w:val="Footer"/>
      <w:tabs>
        <w:tab w:val="clear" w:pos="4320"/>
        <w:tab w:val="center" w:pos="4680"/>
      </w:tabs>
      <w:spacing w:line="200" w:lineRule="exact"/>
    </w:pPr>
    <w:r>
      <w:tab/>
    </w:r>
  </w:p>
  <w:p w14:paraId="650D2535" w14:textId="77777777" w:rsidR="000D2FCD" w:rsidRDefault="000D2FCD" w:rsidP="007204FD">
    <w:pPr>
      <w:pStyle w:val="Footer"/>
      <w:tabs>
        <w:tab w:val="clear" w:pos="4320"/>
        <w:tab w:val="center" w:pos="4680"/>
      </w:tabs>
      <w:spacing w:line="200" w:lineRule="exact"/>
    </w:pPr>
    <w:r w:rsidRPr="007204FD">
      <w:rPr>
        <w:rStyle w:val="zzmpTrailerItem"/>
      </w:rPr>
      <w:t>4834-5368-8925.6</w:t>
    </w:r>
    <w:r w:rsidRPr="007204FD">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6D37" w14:textId="77777777" w:rsidR="001376E6" w:rsidRDefault="001376E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7C150" w14:textId="6257E219" w:rsidR="000D2FCD" w:rsidRDefault="000D2FCD" w:rsidP="005934EF">
    <w:pPr>
      <w:pStyle w:val="Footer"/>
      <w:tabs>
        <w:tab w:val="clear" w:pos="4320"/>
        <w:tab w:val="center" w:pos="4680"/>
      </w:tabs>
      <w:spacing w:line="200" w:lineRule="exact"/>
      <w:rPr>
        <w:rFonts w:ascii="Arial" w:hAnsi="Arial" w:cs="Arial"/>
        <w:noProof/>
      </w:rPr>
    </w:pPr>
    <w:r>
      <w:tab/>
    </w:r>
    <w:r w:rsidRPr="005934EF">
      <w:rPr>
        <w:rFonts w:ascii="Arial" w:hAnsi="Arial" w:cs="Arial"/>
      </w:rPr>
      <w:fldChar w:fldCharType="begin"/>
    </w:r>
    <w:r w:rsidRPr="005934EF">
      <w:rPr>
        <w:rFonts w:ascii="Arial" w:hAnsi="Arial" w:cs="Arial"/>
      </w:rPr>
      <w:instrText xml:space="preserve"> PAGE   \* MERGEFORMAT </w:instrText>
    </w:r>
    <w:r w:rsidRPr="005934EF">
      <w:rPr>
        <w:rFonts w:ascii="Arial" w:hAnsi="Arial" w:cs="Arial"/>
      </w:rPr>
      <w:fldChar w:fldCharType="separate"/>
    </w:r>
    <w:r>
      <w:rPr>
        <w:rFonts w:ascii="Arial" w:hAnsi="Arial" w:cs="Arial"/>
        <w:noProof/>
      </w:rPr>
      <w:t>3</w:t>
    </w:r>
    <w:r w:rsidRPr="005934EF">
      <w:rPr>
        <w:rFonts w:ascii="Arial" w:hAnsi="Arial" w:cs="Arial"/>
        <w:noProof/>
      </w:rPr>
      <w:fldChar w:fldCharType="end"/>
    </w:r>
  </w:p>
  <w:p w14:paraId="65FFDFE5" w14:textId="6AE8D6F2" w:rsidR="000D2FCD" w:rsidRDefault="000D2FCD" w:rsidP="007204FD">
    <w:pPr>
      <w:pStyle w:val="Footer"/>
      <w:tabs>
        <w:tab w:val="clear" w:pos="4320"/>
        <w:tab w:val="center" w:pos="4680"/>
      </w:tabs>
      <w:spacing w:line="200" w:lineRule="exact"/>
      <w:rPr>
        <w:rFonts w:ascii="Arial" w:hAnsi="Arial" w:cs="Arial"/>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5BA02" w14:textId="77777777" w:rsidR="009734B7" w:rsidRDefault="009734B7">
      <w:r>
        <w:separator/>
      </w:r>
    </w:p>
  </w:footnote>
  <w:footnote w:type="continuationSeparator" w:id="0">
    <w:p w14:paraId="319D92DA" w14:textId="77777777" w:rsidR="009734B7" w:rsidRDefault="009734B7">
      <w:r>
        <w:continuationSeparator/>
      </w:r>
    </w:p>
  </w:footnote>
  <w:footnote w:type="continuationNotice" w:id="1">
    <w:p w14:paraId="6F33F35A" w14:textId="77777777" w:rsidR="009734B7" w:rsidRDefault="009734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AA1B3" w14:textId="77777777" w:rsidR="001376E6" w:rsidRDefault="001376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239C3" w14:textId="344303D7" w:rsidR="000D2FCD" w:rsidRDefault="000D2F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4FEA2" w14:textId="77777777" w:rsidR="001376E6" w:rsidRDefault="001376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099"/>
    <w:multiLevelType w:val="hybridMultilevel"/>
    <w:tmpl w:val="F2D6A73A"/>
    <w:lvl w:ilvl="0" w:tplc="E67256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3614ED"/>
    <w:multiLevelType w:val="hybridMultilevel"/>
    <w:tmpl w:val="42B44498"/>
    <w:lvl w:ilvl="0" w:tplc="04090019">
      <w:start w:val="1"/>
      <w:numFmt w:val="lowerLetter"/>
      <w:lvlText w:val="%1."/>
      <w:lvlJc w:val="left"/>
      <w:pPr>
        <w:ind w:left="1230" w:hanging="360"/>
      </w:pPr>
      <w:rPr>
        <w:b w:val="0"/>
      </w:rPr>
    </w:lvl>
    <w:lvl w:ilvl="1" w:tplc="04090019" w:tentative="1">
      <w:start w:val="1"/>
      <w:numFmt w:val="lowerLetter"/>
      <w:lvlText w:val="%2."/>
      <w:lvlJc w:val="left"/>
      <w:pPr>
        <w:ind w:left="1950" w:hanging="360"/>
      </w:pPr>
    </w:lvl>
    <w:lvl w:ilvl="2" w:tplc="0409001B">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2" w15:restartNumberingAfterBreak="0">
    <w:nsid w:val="13137230"/>
    <w:multiLevelType w:val="hybridMultilevel"/>
    <w:tmpl w:val="A8184026"/>
    <w:lvl w:ilvl="0" w:tplc="04090019">
      <w:start w:val="1"/>
      <w:numFmt w:val="lowerLetter"/>
      <w:lvlText w:val="%1."/>
      <w:lvlJc w:val="left"/>
      <w:pPr>
        <w:ind w:left="1950" w:hanging="360"/>
      </w:pPr>
    </w:lvl>
    <w:lvl w:ilvl="1" w:tplc="04090019" w:tentative="1">
      <w:start w:val="1"/>
      <w:numFmt w:val="lowerLetter"/>
      <w:lvlText w:val="%2."/>
      <w:lvlJc w:val="left"/>
      <w:pPr>
        <w:ind w:left="2670" w:hanging="360"/>
      </w:pPr>
    </w:lvl>
    <w:lvl w:ilvl="2" w:tplc="0409001B" w:tentative="1">
      <w:start w:val="1"/>
      <w:numFmt w:val="lowerRoman"/>
      <w:lvlText w:val="%3."/>
      <w:lvlJc w:val="right"/>
      <w:pPr>
        <w:ind w:left="3390" w:hanging="180"/>
      </w:pPr>
    </w:lvl>
    <w:lvl w:ilvl="3" w:tplc="0409000F" w:tentative="1">
      <w:start w:val="1"/>
      <w:numFmt w:val="decimal"/>
      <w:lvlText w:val="%4."/>
      <w:lvlJc w:val="left"/>
      <w:pPr>
        <w:ind w:left="4110" w:hanging="360"/>
      </w:pPr>
    </w:lvl>
    <w:lvl w:ilvl="4" w:tplc="04090019" w:tentative="1">
      <w:start w:val="1"/>
      <w:numFmt w:val="lowerLetter"/>
      <w:lvlText w:val="%5."/>
      <w:lvlJc w:val="left"/>
      <w:pPr>
        <w:ind w:left="4830" w:hanging="360"/>
      </w:pPr>
    </w:lvl>
    <w:lvl w:ilvl="5" w:tplc="0409001B" w:tentative="1">
      <w:start w:val="1"/>
      <w:numFmt w:val="lowerRoman"/>
      <w:lvlText w:val="%6."/>
      <w:lvlJc w:val="right"/>
      <w:pPr>
        <w:ind w:left="5550" w:hanging="180"/>
      </w:pPr>
    </w:lvl>
    <w:lvl w:ilvl="6" w:tplc="0409000F" w:tentative="1">
      <w:start w:val="1"/>
      <w:numFmt w:val="decimal"/>
      <w:lvlText w:val="%7."/>
      <w:lvlJc w:val="left"/>
      <w:pPr>
        <w:ind w:left="6270" w:hanging="360"/>
      </w:pPr>
    </w:lvl>
    <w:lvl w:ilvl="7" w:tplc="04090019" w:tentative="1">
      <w:start w:val="1"/>
      <w:numFmt w:val="lowerLetter"/>
      <w:lvlText w:val="%8."/>
      <w:lvlJc w:val="left"/>
      <w:pPr>
        <w:ind w:left="6990" w:hanging="360"/>
      </w:pPr>
    </w:lvl>
    <w:lvl w:ilvl="8" w:tplc="0409001B" w:tentative="1">
      <w:start w:val="1"/>
      <w:numFmt w:val="lowerRoman"/>
      <w:lvlText w:val="%9."/>
      <w:lvlJc w:val="right"/>
      <w:pPr>
        <w:ind w:left="7710" w:hanging="180"/>
      </w:pPr>
    </w:lvl>
  </w:abstractNum>
  <w:abstractNum w:abstractNumId="3" w15:restartNumberingAfterBreak="0">
    <w:nsid w:val="17B537CA"/>
    <w:multiLevelType w:val="hybridMultilevel"/>
    <w:tmpl w:val="A7028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F223CC"/>
    <w:multiLevelType w:val="hybridMultilevel"/>
    <w:tmpl w:val="B6B0315C"/>
    <w:lvl w:ilvl="0" w:tplc="0409000F">
      <w:start w:val="1"/>
      <w:numFmt w:val="decimal"/>
      <w:lvlText w:val="%1."/>
      <w:lvlJc w:val="left"/>
      <w:pPr>
        <w:ind w:left="1230" w:hanging="360"/>
      </w:pPr>
      <w:rPr>
        <w:b w:val="0"/>
      </w:rPr>
    </w:lvl>
    <w:lvl w:ilvl="1" w:tplc="04090019" w:tentative="1">
      <w:start w:val="1"/>
      <w:numFmt w:val="lowerLetter"/>
      <w:lvlText w:val="%2."/>
      <w:lvlJc w:val="left"/>
      <w:pPr>
        <w:ind w:left="1950" w:hanging="360"/>
      </w:pPr>
    </w:lvl>
    <w:lvl w:ilvl="2" w:tplc="0409001B">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5" w15:restartNumberingAfterBreak="0">
    <w:nsid w:val="294212D3"/>
    <w:multiLevelType w:val="hybridMultilevel"/>
    <w:tmpl w:val="C8CA7D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E553B3"/>
    <w:multiLevelType w:val="hybridMultilevel"/>
    <w:tmpl w:val="64C8B37E"/>
    <w:lvl w:ilvl="0" w:tplc="04090019">
      <w:start w:val="1"/>
      <w:numFmt w:val="lowerLetter"/>
      <w:lvlText w:val="%1."/>
      <w:lvlJc w:val="left"/>
      <w:pPr>
        <w:ind w:left="1950" w:hanging="360"/>
      </w:pPr>
    </w:lvl>
    <w:lvl w:ilvl="1" w:tplc="04090019" w:tentative="1">
      <w:start w:val="1"/>
      <w:numFmt w:val="lowerLetter"/>
      <w:lvlText w:val="%2."/>
      <w:lvlJc w:val="left"/>
      <w:pPr>
        <w:ind w:left="2670" w:hanging="360"/>
      </w:pPr>
    </w:lvl>
    <w:lvl w:ilvl="2" w:tplc="0409001B" w:tentative="1">
      <w:start w:val="1"/>
      <w:numFmt w:val="lowerRoman"/>
      <w:lvlText w:val="%3."/>
      <w:lvlJc w:val="right"/>
      <w:pPr>
        <w:ind w:left="3390" w:hanging="180"/>
      </w:pPr>
    </w:lvl>
    <w:lvl w:ilvl="3" w:tplc="0409000F" w:tentative="1">
      <w:start w:val="1"/>
      <w:numFmt w:val="decimal"/>
      <w:lvlText w:val="%4."/>
      <w:lvlJc w:val="left"/>
      <w:pPr>
        <w:ind w:left="4110" w:hanging="360"/>
      </w:pPr>
    </w:lvl>
    <w:lvl w:ilvl="4" w:tplc="04090019" w:tentative="1">
      <w:start w:val="1"/>
      <w:numFmt w:val="lowerLetter"/>
      <w:lvlText w:val="%5."/>
      <w:lvlJc w:val="left"/>
      <w:pPr>
        <w:ind w:left="4830" w:hanging="360"/>
      </w:pPr>
    </w:lvl>
    <w:lvl w:ilvl="5" w:tplc="0409001B" w:tentative="1">
      <w:start w:val="1"/>
      <w:numFmt w:val="lowerRoman"/>
      <w:lvlText w:val="%6."/>
      <w:lvlJc w:val="right"/>
      <w:pPr>
        <w:ind w:left="5550" w:hanging="180"/>
      </w:pPr>
    </w:lvl>
    <w:lvl w:ilvl="6" w:tplc="0409000F" w:tentative="1">
      <w:start w:val="1"/>
      <w:numFmt w:val="decimal"/>
      <w:lvlText w:val="%7."/>
      <w:lvlJc w:val="left"/>
      <w:pPr>
        <w:ind w:left="6270" w:hanging="360"/>
      </w:pPr>
    </w:lvl>
    <w:lvl w:ilvl="7" w:tplc="04090019" w:tentative="1">
      <w:start w:val="1"/>
      <w:numFmt w:val="lowerLetter"/>
      <w:lvlText w:val="%8."/>
      <w:lvlJc w:val="left"/>
      <w:pPr>
        <w:ind w:left="6990" w:hanging="360"/>
      </w:pPr>
    </w:lvl>
    <w:lvl w:ilvl="8" w:tplc="0409001B" w:tentative="1">
      <w:start w:val="1"/>
      <w:numFmt w:val="lowerRoman"/>
      <w:lvlText w:val="%9."/>
      <w:lvlJc w:val="right"/>
      <w:pPr>
        <w:ind w:left="7710" w:hanging="180"/>
      </w:pPr>
    </w:lvl>
  </w:abstractNum>
  <w:abstractNum w:abstractNumId="7" w15:restartNumberingAfterBreak="0">
    <w:nsid w:val="310E325B"/>
    <w:multiLevelType w:val="hybridMultilevel"/>
    <w:tmpl w:val="798C8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0F2CC0"/>
    <w:multiLevelType w:val="hybridMultilevel"/>
    <w:tmpl w:val="2B46A516"/>
    <w:lvl w:ilvl="0" w:tplc="04090019">
      <w:start w:val="1"/>
      <w:numFmt w:val="lowerLetter"/>
      <w:lvlText w:val="%1."/>
      <w:lvlJc w:val="left"/>
      <w:pPr>
        <w:ind w:left="1950" w:hanging="360"/>
      </w:pPr>
    </w:lvl>
    <w:lvl w:ilvl="1" w:tplc="04090019" w:tentative="1">
      <w:start w:val="1"/>
      <w:numFmt w:val="lowerLetter"/>
      <w:lvlText w:val="%2."/>
      <w:lvlJc w:val="left"/>
      <w:pPr>
        <w:ind w:left="2670" w:hanging="360"/>
      </w:pPr>
    </w:lvl>
    <w:lvl w:ilvl="2" w:tplc="0409001B" w:tentative="1">
      <w:start w:val="1"/>
      <w:numFmt w:val="lowerRoman"/>
      <w:lvlText w:val="%3."/>
      <w:lvlJc w:val="right"/>
      <w:pPr>
        <w:ind w:left="3390" w:hanging="180"/>
      </w:pPr>
    </w:lvl>
    <w:lvl w:ilvl="3" w:tplc="0409000F" w:tentative="1">
      <w:start w:val="1"/>
      <w:numFmt w:val="decimal"/>
      <w:lvlText w:val="%4."/>
      <w:lvlJc w:val="left"/>
      <w:pPr>
        <w:ind w:left="4110" w:hanging="360"/>
      </w:pPr>
    </w:lvl>
    <w:lvl w:ilvl="4" w:tplc="04090019" w:tentative="1">
      <w:start w:val="1"/>
      <w:numFmt w:val="lowerLetter"/>
      <w:lvlText w:val="%5."/>
      <w:lvlJc w:val="left"/>
      <w:pPr>
        <w:ind w:left="4830" w:hanging="360"/>
      </w:pPr>
    </w:lvl>
    <w:lvl w:ilvl="5" w:tplc="0409001B" w:tentative="1">
      <w:start w:val="1"/>
      <w:numFmt w:val="lowerRoman"/>
      <w:lvlText w:val="%6."/>
      <w:lvlJc w:val="right"/>
      <w:pPr>
        <w:ind w:left="5550" w:hanging="180"/>
      </w:pPr>
    </w:lvl>
    <w:lvl w:ilvl="6" w:tplc="0409000F" w:tentative="1">
      <w:start w:val="1"/>
      <w:numFmt w:val="decimal"/>
      <w:lvlText w:val="%7."/>
      <w:lvlJc w:val="left"/>
      <w:pPr>
        <w:ind w:left="6270" w:hanging="360"/>
      </w:pPr>
    </w:lvl>
    <w:lvl w:ilvl="7" w:tplc="04090019" w:tentative="1">
      <w:start w:val="1"/>
      <w:numFmt w:val="lowerLetter"/>
      <w:lvlText w:val="%8."/>
      <w:lvlJc w:val="left"/>
      <w:pPr>
        <w:ind w:left="6990" w:hanging="360"/>
      </w:pPr>
    </w:lvl>
    <w:lvl w:ilvl="8" w:tplc="0409001B" w:tentative="1">
      <w:start w:val="1"/>
      <w:numFmt w:val="lowerRoman"/>
      <w:lvlText w:val="%9."/>
      <w:lvlJc w:val="right"/>
      <w:pPr>
        <w:ind w:left="7710" w:hanging="180"/>
      </w:pPr>
    </w:lvl>
  </w:abstractNum>
  <w:abstractNum w:abstractNumId="9" w15:restartNumberingAfterBreak="0">
    <w:nsid w:val="39082429"/>
    <w:multiLevelType w:val="hybridMultilevel"/>
    <w:tmpl w:val="A650E7E6"/>
    <w:lvl w:ilvl="0" w:tplc="04090019">
      <w:start w:val="1"/>
      <w:numFmt w:val="lowerLetter"/>
      <w:lvlText w:val="%1."/>
      <w:lvlJc w:val="left"/>
      <w:pPr>
        <w:ind w:left="1590" w:hanging="360"/>
      </w:p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10" w15:restartNumberingAfterBreak="0">
    <w:nsid w:val="461E3DD8"/>
    <w:multiLevelType w:val="hybridMultilevel"/>
    <w:tmpl w:val="3DBCC4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C065B3"/>
    <w:multiLevelType w:val="hybridMultilevel"/>
    <w:tmpl w:val="DF6CC868"/>
    <w:lvl w:ilvl="0" w:tplc="0409000F">
      <w:start w:val="1"/>
      <w:numFmt w:val="decimal"/>
      <w:lvlText w:val="%1."/>
      <w:lvlJc w:val="left"/>
      <w:pPr>
        <w:ind w:left="1230" w:hanging="360"/>
      </w:pPr>
      <w:rPr>
        <w:b w:val="0"/>
      </w:rPr>
    </w:lvl>
    <w:lvl w:ilvl="1" w:tplc="04090019" w:tentative="1">
      <w:start w:val="1"/>
      <w:numFmt w:val="lowerLetter"/>
      <w:lvlText w:val="%2."/>
      <w:lvlJc w:val="left"/>
      <w:pPr>
        <w:ind w:left="1950" w:hanging="360"/>
      </w:pPr>
    </w:lvl>
    <w:lvl w:ilvl="2" w:tplc="0409001B">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2" w15:restartNumberingAfterBreak="0">
    <w:nsid w:val="49DB0961"/>
    <w:multiLevelType w:val="hybridMultilevel"/>
    <w:tmpl w:val="3DBCC4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2979FD"/>
    <w:multiLevelType w:val="hybridMultilevel"/>
    <w:tmpl w:val="2A22BBB4"/>
    <w:lvl w:ilvl="0" w:tplc="EF342EA0">
      <w:start w:val="1"/>
      <w:numFmt w:val="lowerLetter"/>
      <w:lvlText w:val="(%1)"/>
      <w:lvlJc w:val="left"/>
      <w:pPr>
        <w:ind w:left="942" w:hanging="360"/>
      </w:pPr>
    </w:lvl>
    <w:lvl w:ilvl="1" w:tplc="04090019">
      <w:start w:val="1"/>
      <w:numFmt w:val="lowerLetter"/>
      <w:lvlText w:val="%2."/>
      <w:lvlJc w:val="left"/>
      <w:pPr>
        <w:ind w:left="1662" w:hanging="360"/>
      </w:pPr>
    </w:lvl>
    <w:lvl w:ilvl="2" w:tplc="0409001B">
      <w:start w:val="1"/>
      <w:numFmt w:val="lowerRoman"/>
      <w:lvlText w:val="%3."/>
      <w:lvlJc w:val="right"/>
      <w:pPr>
        <w:ind w:left="2382" w:hanging="180"/>
      </w:pPr>
    </w:lvl>
    <w:lvl w:ilvl="3" w:tplc="0409000F">
      <w:start w:val="1"/>
      <w:numFmt w:val="decimal"/>
      <w:lvlText w:val="%4."/>
      <w:lvlJc w:val="left"/>
      <w:pPr>
        <w:ind w:left="3102" w:hanging="360"/>
      </w:pPr>
    </w:lvl>
    <w:lvl w:ilvl="4" w:tplc="04090019">
      <w:start w:val="1"/>
      <w:numFmt w:val="lowerLetter"/>
      <w:lvlText w:val="%5."/>
      <w:lvlJc w:val="left"/>
      <w:pPr>
        <w:ind w:left="3822" w:hanging="360"/>
      </w:pPr>
    </w:lvl>
    <w:lvl w:ilvl="5" w:tplc="0409001B">
      <w:start w:val="1"/>
      <w:numFmt w:val="lowerRoman"/>
      <w:lvlText w:val="%6."/>
      <w:lvlJc w:val="right"/>
      <w:pPr>
        <w:ind w:left="4542" w:hanging="180"/>
      </w:pPr>
    </w:lvl>
    <w:lvl w:ilvl="6" w:tplc="0409000F">
      <w:start w:val="1"/>
      <w:numFmt w:val="decimal"/>
      <w:lvlText w:val="%7."/>
      <w:lvlJc w:val="left"/>
      <w:pPr>
        <w:ind w:left="5262" w:hanging="360"/>
      </w:pPr>
    </w:lvl>
    <w:lvl w:ilvl="7" w:tplc="04090019">
      <w:start w:val="1"/>
      <w:numFmt w:val="lowerLetter"/>
      <w:lvlText w:val="%8."/>
      <w:lvlJc w:val="left"/>
      <w:pPr>
        <w:ind w:left="5982" w:hanging="360"/>
      </w:pPr>
    </w:lvl>
    <w:lvl w:ilvl="8" w:tplc="0409001B">
      <w:start w:val="1"/>
      <w:numFmt w:val="lowerRoman"/>
      <w:lvlText w:val="%9."/>
      <w:lvlJc w:val="right"/>
      <w:pPr>
        <w:ind w:left="6702" w:hanging="180"/>
      </w:pPr>
    </w:lvl>
  </w:abstractNum>
  <w:abstractNum w:abstractNumId="14" w15:restartNumberingAfterBreak="0">
    <w:nsid w:val="692A4B85"/>
    <w:multiLevelType w:val="hybridMultilevel"/>
    <w:tmpl w:val="9EBC2E8A"/>
    <w:lvl w:ilvl="0" w:tplc="0409000F">
      <w:start w:val="1"/>
      <w:numFmt w:val="decimal"/>
      <w:lvlText w:val="%1."/>
      <w:lvlJc w:val="left"/>
      <w:pPr>
        <w:ind w:left="1230" w:hanging="360"/>
      </w:pPr>
      <w:rPr>
        <w:b w:val="0"/>
      </w:rPr>
    </w:lvl>
    <w:lvl w:ilvl="1" w:tplc="04090019" w:tentative="1">
      <w:start w:val="1"/>
      <w:numFmt w:val="lowerLetter"/>
      <w:lvlText w:val="%2."/>
      <w:lvlJc w:val="left"/>
      <w:pPr>
        <w:ind w:left="1950" w:hanging="360"/>
      </w:pPr>
    </w:lvl>
    <w:lvl w:ilvl="2" w:tplc="0409001B">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5" w15:restartNumberingAfterBreak="0">
    <w:nsid w:val="74386B0B"/>
    <w:multiLevelType w:val="singleLevel"/>
    <w:tmpl w:val="B61A7344"/>
    <w:lvl w:ilvl="0">
      <w:start w:val="2"/>
      <w:numFmt w:val="lowerRoman"/>
      <w:lvlText w:val="(%1)"/>
      <w:lvlJc w:val="left"/>
      <w:pPr>
        <w:tabs>
          <w:tab w:val="num" w:pos="6"/>
        </w:tabs>
        <w:ind w:left="6" w:hanging="735"/>
      </w:pPr>
      <w:rPr>
        <w:rFonts w:hint="default"/>
      </w:rPr>
    </w:lvl>
  </w:abstractNum>
  <w:abstractNum w:abstractNumId="16" w15:restartNumberingAfterBreak="0">
    <w:nsid w:val="759DE4E6"/>
    <w:multiLevelType w:val="hybridMultilevel"/>
    <w:tmpl w:val="FFFFFFFF"/>
    <w:lvl w:ilvl="0" w:tplc="35AECEE4">
      <w:start w:val="1"/>
      <w:numFmt w:val="upperRoman"/>
      <w:lvlText w:val="%1."/>
      <w:lvlJc w:val="left"/>
      <w:pPr>
        <w:ind w:left="1080" w:hanging="360"/>
      </w:pPr>
    </w:lvl>
    <w:lvl w:ilvl="1" w:tplc="8AD2FBA2">
      <w:start w:val="1"/>
      <w:numFmt w:val="lowerLetter"/>
      <w:lvlText w:val="%2."/>
      <w:lvlJc w:val="left"/>
      <w:pPr>
        <w:ind w:left="1800" w:hanging="360"/>
      </w:pPr>
    </w:lvl>
    <w:lvl w:ilvl="2" w:tplc="2AB6F7EC">
      <w:start w:val="1"/>
      <w:numFmt w:val="lowerRoman"/>
      <w:lvlText w:val="%3."/>
      <w:lvlJc w:val="right"/>
      <w:pPr>
        <w:ind w:left="2520" w:hanging="180"/>
      </w:pPr>
    </w:lvl>
    <w:lvl w:ilvl="3" w:tplc="C50C19E2">
      <w:start w:val="1"/>
      <w:numFmt w:val="decimal"/>
      <w:lvlText w:val="%4."/>
      <w:lvlJc w:val="left"/>
      <w:pPr>
        <w:ind w:left="3240" w:hanging="360"/>
      </w:pPr>
    </w:lvl>
    <w:lvl w:ilvl="4" w:tplc="36F81756">
      <w:start w:val="1"/>
      <w:numFmt w:val="lowerLetter"/>
      <w:lvlText w:val="%5."/>
      <w:lvlJc w:val="left"/>
      <w:pPr>
        <w:ind w:left="3960" w:hanging="360"/>
      </w:pPr>
    </w:lvl>
    <w:lvl w:ilvl="5" w:tplc="BEA417AE">
      <w:start w:val="1"/>
      <w:numFmt w:val="lowerRoman"/>
      <w:lvlText w:val="%6."/>
      <w:lvlJc w:val="right"/>
      <w:pPr>
        <w:ind w:left="4680" w:hanging="180"/>
      </w:pPr>
    </w:lvl>
    <w:lvl w:ilvl="6" w:tplc="D660DA72">
      <w:start w:val="1"/>
      <w:numFmt w:val="decimal"/>
      <w:lvlText w:val="%7."/>
      <w:lvlJc w:val="left"/>
      <w:pPr>
        <w:ind w:left="5400" w:hanging="360"/>
      </w:pPr>
    </w:lvl>
    <w:lvl w:ilvl="7" w:tplc="D214EBA8">
      <w:start w:val="1"/>
      <w:numFmt w:val="lowerLetter"/>
      <w:lvlText w:val="%8."/>
      <w:lvlJc w:val="left"/>
      <w:pPr>
        <w:ind w:left="6120" w:hanging="360"/>
      </w:pPr>
    </w:lvl>
    <w:lvl w:ilvl="8" w:tplc="2252E78A">
      <w:start w:val="1"/>
      <w:numFmt w:val="lowerRoman"/>
      <w:lvlText w:val="%9."/>
      <w:lvlJc w:val="right"/>
      <w:pPr>
        <w:ind w:left="6840" w:hanging="180"/>
      </w:pPr>
    </w:lvl>
  </w:abstractNum>
  <w:abstractNum w:abstractNumId="17" w15:restartNumberingAfterBreak="0">
    <w:nsid w:val="78F52713"/>
    <w:multiLevelType w:val="hybridMultilevel"/>
    <w:tmpl w:val="6F06D7A8"/>
    <w:lvl w:ilvl="0" w:tplc="04090019">
      <w:start w:val="1"/>
      <w:numFmt w:val="lowerLetter"/>
      <w:lvlText w:val="%1."/>
      <w:lvlJc w:val="left"/>
      <w:pPr>
        <w:ind w:left="1230" w:hanging="360"/>
      </w:pPr>
    </w:lvl>
    <w:lvl w:ilvl="1" w:tplc="04090019">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8" w15:restartNumberingAfterBreak="0">
    <w:nsid w:val="7D7308B5"/>
    <w:multiLevelType w:val="hybridMultilevel"/>
    <w:tmpl w:val="90A6A0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01970779">
    <w:abstractNumId w:val="16"/>
  </w:num>
  <w:num w:numId="2" w16cid:durableId="2127314518">
    <w:abstractNumId w:val="15"/>
    <w:lvlOverride w:ilvl="0">
      <w:startOverride w:val="2"/>
    </w:lvlOverride>
  </w:num>
  <w:num w:numId="3" w16cid:durableId="6524931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5416233">
    <w:abstractNumId w:val="0"/>
  </w:num>
  <w:num w:numId="5" w16cid:durableId="1201165896">
    <w:abstractNumId w:val="4"/>
  </w:num>
  <w:num w:numId="6" w16cid:durableId="1306549291">
    <w:abstractNumId w:val="5"/>
  </w:num>
  <w:num w:numId="7" w16cid:durableId="2123378828">
    <w:abstractNumId w:val="3"/>
  </w:num>
  <w:num w:numId="8" w16cid:durableId="805776305">
    <w:abstractNumId w:val="12"/>
  </w:num>
  <w:num w:numId="9" w16cid:durableId="1242836614">
    <w:abstractNumId w:val="18"/>
  </w:num>
  <w:num w:numId="10" w16cid:durableId="524289905">
    <w:abstractNumId w:val="8"/>
  </w:num>
  <w:num w:numId="11" w16cid:durableId="400297274">
    <w:abstractNumId w:val="1"/>
  </w:num>
  <w:num w:numId="12" w16cid:durableId="80686120">
    <w:abstractNumId w:val="7"/>
  </w:num>
  <w:num w:numId="13" w16cid:durableId="592476727">
    <w:abstractNumId w:val="11"/>
  </w:num>
  <w:num w:numId="14" w16cid:durableId="1119370471">
    <w:abstractNumId w:val="17"/>
  </w:num>
  <w:num w:numId="15" w16cid:durableId="88166232">
    <w:abstractNumId w:val="9"/>
  </w:num>
  <w:num w:numId="16" w16cid:durableId="1214200018">
    <w:abstractNumId w:val="2"/>
  </w:num>
  <w:num w:numId="17" w16cid:durableId="1246186841">
    <w:abstractNumId w:val="14"/>
  </w:num>
  <w:num w:numId="18" w16cid:durableId="2065521451">
    <w:abstractNumId w:val="6"/>
  </w:num>
  <w:num w:numId="19" w16cid:durableId="75396579">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Date" w:val="0"/>
    <w:docVar w:name="85TrailerDateField" w:val="0"/>
    <w:docVar w:name="85TrailerDraft" w:val="0"/>
    <w:docVar w:name="85TrailerPage" w:val="0"/>
    <w:docVar w:name="85TrailerTime" w:val="0"/>
    <w:docVar w:name="85TrailerType" w:val="100"/>
    <w:docVar w:name="chkIncludePage" w:val="False"/>
    <w:docVar w:name="DocStamp_2_DocID" w:val="C:\NetDocs\VAULT-patricia.peterson\Minn-St. Paul Housing Finace Board QAP - 2019 4834-5368-8925 v.3.docx"/>
    <w:docVar w:name="DocStamp_2_IncludeDate" w:val="False"/>
    <w:docVar w:name="DocStamp_2_IncludeDraftText" w:val="False"/>
    <w:docVar w:name="DocStamp_2_IncludeTime" w:val="False"/>
    <w:docVar w:name="DocStamp_2_InsertDateAsField" w:val="False"/>
    <w:docVar w:name="DocStamp_2_TypeID" w:val="9"/>
    <w:docVar w:name="MPDocID" w:val="4834-5368-8925.6"/>
    <w:docVar w:name="MPDocIDTemplate" w:val="%n|.%v"/>
    <w:docVar w:name="MPDocIDTemplateDefault" w:val="%n|.%v"/>
    <w:docVar w:name="NewDocStampType" w:val="1"/>
  </w:docVars>
  <w:rsids>
    <w:rsidRoot w:val="00DE3C50"/>
    <w:rsid w:val="00000A3A"/>
    <w:rsid w:val="00000F65"/>
    <w:rsid w:val="0000538F"/>
    <w:rsid w:val="000057B1"/>
    <w:rsid w:val="00010893"/>
    <w:rsid w:val="00011179"/>
    <w:rsid w:val="00011352"/>
    <w:rsid w:val="000126CD"/>
    <w:rsid w:val="00012BC9"/>
    <w:rsid w:val="00017FFA"/>
    <w:rsid w:val="00020179"/>
    <w:rsid w:val="000249A0"/>
    <w:rsid w:val="00031728"/>
    <w:rsid w:val="00032606"/>
    <w:rsid w:val="0004085F"/>
    <w:rsid w:val="0004108E"/>
    <w:rsid w:val="000422A6"/>
    <w:rsid w:val="00043621"/>
    <w:rsid w:val="00043EEF"/>
    <w:rsid w:val="00044AE4"/>
    <w:rsid w:val="00047462"/>
    <w:rsid w:val="00056038"/>
    <w:rsid w:val="00061DAF"/>
    <w:rsid w:val="00064467"/>
    <w:rsid w:val="00064F2E"/>
    <w:rsid w:val="000653B7"/>
    <w:rsid w:val="00066DFE"/>
    <w:rsid w:val="00067977"/>
    <w:rsid w:val="00070C79"/>
    <w:rsid w:val="00072C7E"/>
    <w:rsid w:val="000747E0"/>
    <w:rsid w:val="0007573A"/>
    <w:rsid w:val="00077018"/>
    <w:rsid w:val="00080606"/>
    <w:rsid w:val="000871D0"/>
    <w:rsid w:val="00092F9C"/>
    <w:rsid w:val="0009614C"/>
    <w:rsid w:val="00096560"/>
    <w:rsid w:val="00096F62"/>
    <w:rsid w:val="000A1044"/>
    <w:rsid w:val="000A14BA"/>
    <w:rsid w:val="000A1CC5"/>
    <w:rsid w:val="000A243E"/>
    <w:rsid w:val="000A5FBA"/>
    <w:rsid w:val="000B1A20"/>
    <w:rsid w:val="000B2435"/>
    <w:rsid w:val="000C0258"/>
    <w:rsid w:val="000C1F1E"/>
    <w:rsid w:val="000C2722"/>
    <w:rsid w:val="000C52B8"/>
    <w:rsid w:val="000C7A79"/>
    <w:rsid w:val="000D1629"/>
    <w:rsid w:val="000D19F9"/>
    <w:rsid w:val="000D2FCD"/>
    <w:rsid w:val="000D4AF2"/>
    <w:rsid w:val="000E1966"/>
    <w:rsid w:val="000E19BC"/>
    <w:rsid w:val="000E43B7"/>
    <w:rsid w:val="000E4BAE"/>
    <w:rsid w:val="000F79F8"/>
    <w:rsid w:val="00102477"/>
    <w:rsid w:val="00104BC4"/>
    <w:rsid w:val="00107CFD"/>
    <w:rsid w:val="0011092B"/>
    <w:rsid w:val="00111B6B"/>
    <w:rsid w:val="00112835"/>
    <w:rsid w:val="001131F5"/>
    <w:rsid w:val="0011669E"/>
    <w:rsid w:val="00116F3A"/>
    <w:rsid w:val="00122859"/>
    <w:rsid w:val="00122ED1"/>
    <w:rsid w:val="0012344C"/>
    <w:rsid w:val="00124086"/>
    <w:rsid w:val="00125738"/>
    <w:rsid w:val="00125B05"/>
    <w:rsid w:val="00126980"/>
    <w:rsid w:val="00133988"/>
    <w:rsid w:val="001376E6"/>
    <w:rsid w:val="00140418"/>
    <w:rsid w:val="00140A04"/>
    <w:rsid w:val="00145CB5"/>
    <w:rsid w:val="001508AF"/>
    <w:rsid w:val="00151B30"/>
    <w:rsid w:val="001530E4"/>
    <w:rsid w:val="00155DEC"/>
    <w:rsid w:val="001566CF"/>
    <w:rsid w:val="00157152"/>
    <w:rsid w:val="001616D4"/>
    <w:rsid w:val="00164A3E"/>
    <w:rsid w:val="00166561"/>
    <w:rsid w:val="001713A2"/>
    <w:rsid w:val="00172878"/>
    <w:rsid w:val="001742E5"/>
    <w:rsid w:val="001750A5"/>
    <w:rsid w:val="001776BE"/>
    <w:rsid w:val="00177E92"/>
    <w:rsid w:val="00184475"/>
    <w:rsid w:val="00190B05"/>
    <w:rsid w:val="001918BC"/>
    <w:rsid w:val="0019261B"/>
    <w:rsid w:val="00194504"/>
    <w:rsid w:val="00196ADD"/>
    <w:rsid w:val="001A16BA"/>
    <w:rsid w:val="001A16CE"/>
    <w:rsid w:val="001A4BAA"/>
    <w:rsid w:val="001D5CF4"/>
    <w:rsid w:val="001E4F35"/>
    <w:rsid w:val="001F0401"/>
    <w:rsid w:val="001F31E0"/>
    <w:rsid w:val="001F3C4C"/>
    <w:rsid w:val="00201A91"/>
    <w:rsid w:val="00201E15"/>
    <w:rsid w:val="0020278B"/>
    <w:rsid w:val="00205657"/>
    <w:rsid w:val="00207506"/>
    <w:rsid w:val="002122BC"/>
    <w:rsid w:val="00214578"/>
    <w:rsid w:val="00214B26"/>
    <w:rsid w:val="00216897"/>
    <w:rsid w:val="00220CCE"/>
    <w:rsid w:val="00226CE3"/>
    <w:rsid w:val="0023004E"/>
    <w:rsid w:val="002323C4"/>
    <w:rsid w:val="002438A6"/>
    <w:rsid w:val="00245B69"/>
    <w:rsid w:val="00245CDA"/>
    <w:rsid w:val="002463BD"/>
    <w:rsid w:val="002571A7"/>
    <w:rsid w:val="00257750"/>
    <w:rsid w:val="00257B02"/>
    <w:rsid w:val="00264EF7"/>
    <w:rsid w:val="00270460"/>
    <w:rsid w:val="0027069F"/>
    <w:rsid w:val="0027312D"/>
    <w:rsid w:val="00274FA3"/>
    <w:rsid w:val="00276824"/>
    <w:rsid w:val="002776F3"/>
    <w:rsid w:val="00281225"/>
    <w:rsid w:val="0028240A"/>
    <w:rsid w:val="00285FCE"/>
    <w:rsid w:val="00291878"/>
    <w:rsid w:val="00293E54"/>
    <w:rsid w:val="0029626B"/>
    <w:rsid w:val="0029731A"/>
    <w:rsid w:val="002A379B"/>
    <w:rsid w:val="002A3ECC"/>
    <w:rsid w:val="002A534C"/>
    <w:rsid w:val="002A5AE7"/>
    <w:rsid w:val="002B0BDE"/>
    <w:rsid w:val="002B0D56"/>
    <w:rsid w:val="002B18DE"/>
    <w:rsid w:val="002B45BD"/>
    <w:rsid w:val="002B46B5"/>
    <w:rsid w:val="002B654D"/>
    <w:rsid w:val="002C17D6"/>
    <w:rsid w:val="002C252D"/>
    <w:rsid w:val="002D6E4C"/>
    <w:rsid w:val="002E32E0"/>
    <w:rsid w:val="002E60D1"/>
    <w:rsid w:val="002E68FB"/>
    <w:rsid w:val="002F078B"/>
    <w:rsid w:val="002F3262"/>
    <w:rsid w:val="002F3ED4"/>
    <w:rsid w:val="002F612B"/>
    <w:rsid w:val="002F7E5D"/>
    <w:rsid w:val="00300617"/>
    <w:rsid w:val="003147C9"/>
    <w:rsid w:val="0031633A"/>
    <w:rsid w:val="00316D0B"/>
    <w:rsid w:val="00321BD4"/>
    <w:rsid w:val="0032518F"/>
    <w:rsid w:val="00327005"/>
    <w:rsid w:val="003340C2"/>
    <w:rsid w:val="00337191"/>
    <w:rsid w:val="00337AC1"/>
    <w:rsid w:val="0034252E"/>
    <w:rsid w:val="00347BF6"/>
    <w:rsid w:val="00353919"/>
    <w:rsid w:val="00356B30"/>
    <w:rsid w:val="00357C85"/>
    <w:rsid w:val="003601E5"/>
    <w:rsid w:val="00360B18"/>
    <w:rsid w:val="0036236E"/>
    <w:rsid w:val="00370CE7"/>
    <w:rsid w:val="00370DB8"/>
    <w:rsid w:val="00381F20"/>
    <w:rsid w:val="00387FB2"/>
    <w:rsid w:val="0039188B"/>
    <w:rsid w:val="003952BD"/>
    <w:rsid w:val="003952CF"/>
    <w:rsid w:val="003A196E"/>
    <w:rsid w:val="003A1F54"/>
    <w:rsid w:val="003A27F5"/>
    <w:rsid w:val="003B1F80"/>
    <w:rsid w:val="003B33FA"/>
    <w:rsid w:val="003B4470"/>
    <w:rsid w:val="003B4C20"/>
    <w:rsid w:val="003C100C"/>
    <w:rsid w:val="003C551A"/>
    <w:rsid w:val="003C7F8E"/>
    <w:rsid w:val="003D45C1"/>
    <w:rsid w:val="003E0C6C"/>
    <w:rsid w:val="003E4B93"/>
    <w:rsid w:val="003E4DDE"/>
    <w:rsid w:val="003E5958"/>
    <w:rsid w:val="003E685F"/>
    <w:rsid w:val="003E76CE"/>
    <w:rsid w:val="003F27E8"/>
    <w:rsid w:val="003F55BF"/>
    <w:rsid w:val="003F6CE5"/>
    <w:rsid w:val="004004FD"/>
    <w:rsid w:val="00400FA1"/>
    <w:rsid w:val="00412147"/>
    <w:rsid w:val="0042020F"/>
    <w:rsid w:val="004309BC"/>
    <w:rsid w:val="00433105"/>
    <w:rsid w:val="00435BCF"/>
    <w:rsid w:val="00437B7D"/>
    <w:rsid w:val="004454DB"/>
    <w:rsid w:val="00446772"/>
    <w:rsid w:val="00447737"/>
    <w:rsid w:val="00452DDB"/>
    <w:rsid w:val="0046193A"/>
    <w:rsid w:val="0046357E"/>
    <w:rsid w:val="00465295"/>
    <w:rsid w:val="004708A2"/>
    <w:rsid w:val="004708AE"/>
    <w:rsid w:val="00474B67"/>
    <w:rsid w:val="004764E1"/>
    <w:rsid w:val="004773C7"/>
    <w:rsid w:val="00480C38"/>
    <w:rsid w:val="0048130B"/>
    <w:rsid w:val="004927DD"/>
    <w:rsid w:val="004938E4"/>
    <w:rsid w:val="0049390B"/>
    <w:rsid w:val="004972B4"/>
    <w:rsid w:val="00497363"/>
    <w:rsid w:val="004A29FF"/>
    <w:rsid w:val="004A2FE9"/>
    <w:rsid w:val="004A672E"/>
    <w:rsid w:val="004B1572"/>
    <w:rsid w:val="004B54D6"/>
    <w:rsid w:val="004B5F19"/>
    <w:rsid w:val="004C288B"/>
    <w:rsid w:val="004C5FBA"/>
    <w:rsid w:val="004C7984"/>
    <w:rsid w:val="004D13BA"/>
    <w:rsid w:val="004D1C31"/>
    <w:rsid w:val="004D430D"/>
    <w:rsid w:val="004D614C"/>
    <w:rsid w:val="004E13EA"/>
    <w:rsid w:val="004E2F91"/>
    <w:rsid w:val="004E69C3"/>
    <w:rsid w:val="004F288B"/>
    <w:rsid w:val="004F3A7D"/>
    <w:rsid w:val="004F479A"/>
    <w:rsid w:val="00500DE1"/>
    <w:rsid w:val="00502043"/>
    <w:rsid w:val="00503DFD"/>
    <w:rsid w:val="0051187D"/>
    <w:rsid w:val="00512899"/>
    <w:rsid w:val="00514949"/>
    <w:rsid w:val="0051590B"/>
    <w:rsid w:val="005209DB"/>
    <w:rsid w:val="00522799"/>
    <w:rsid w:val="00522BFD"/>
    <w:rsid w:val="00523518"/>
    <w:rsid w:val="00527B80"/>
    <w:rsid w:val="0053154E"/>
    <w:rsid w:val="005352ED"/>
    <w:rsid w:val="00542F3B"/>
    <w:rsid w:val="00546549"/>
    <w:rsid w:val="00550BEA"/>
    <w:rsid w:val="00554A22"/>
    <w:rsid w:val="0056337C"/>
    <w:rsid w:val="005636C3"/>
    <w:rsid w:val="005716C1"/>
    <w:rsid w:val="00571D3A"/>
    <w:rsid w:val="005734D2"/>
    <w:rsid w:val="00585274"/>
    <w:rsid w:val="00586741"/>
    <w:rsid w:val="005934EF"/>
    <w:rsid w:val="005A5AE0"/>
    <w:rsid w:val="005B0BB4"/>
    <w:rsid w:val="005B33F1"/>
    <w:rsid w:val="005B3A31"/>
    <w:rsid w:val="005B7671"/>
    <w:rsid w:val="005B7D2A"/>
    <w:rsid w:val="005C200E"/>
    <w:rsid w:val="005C5D38"/>
    <w:rsid w:val="005C78EA"/>
    <w:rsid w:val="005D5BBB"/>
    <w:rsid w:val="005D6929"/>
    <w:rsid w:val="005E4D15"/>
    <w:rsid w:val="005E7E74"/>
    <w:rsid w:val="005F1422"/>
    <w:rsid w:val="005F1EA4"/>
    <w:rsid w:val="005F59CF"/>
    <w:rsid w:val="005F6408"/>
    <w:rsid w:val="005F7EA3"/>
    <w:rsid w:val="006124D8"/>
    <w:rsid w:val="00612832"/>
    <w:rsid w:val="00614261"/>
    <w:rsid w:val="00615E20"/>
    <w:rsid w:val="00620CB7"/>
    <w:rsid w:val="006217BD"/>
    <w:rsid w:val="00623FD9"/>
    <w:rsid w:val="0062689A"/>
    <w:rsid w:val="006271D2"/>
    <w:rsid w:val="00632B50"/>
    <w:rsid w:val="006337BD"/>
    <w:rsid w:val="00637717"/>
    <w:rsid w:val="00642E8E"/>
    <w:rsid w:val="00644840"/>
    <w:rsid w:val="006451E9"/>
    <w:rsid w:val="0065043D"/>
    <w:rsid w:val="0065217F"/>
    <w:rsid w:val="006527A8"/>
    <w:rsid w:val="00652FFF"/>
    <w:rsid w:val="00656DF4"/>
    <w:rsid w:val="00660310"/>
    <w:rsid w:val="006618B7"/>
    <w:rsid w:val="006630ED"/>
    <w:rsid w:val="00666F77"/>
    <w:rsid w:val="006753F8"/>
    <w:rsid w:val="006822F9"/>
    <w:rsid w:val="00685EC9"/>
    <w:rsid w:val="006869E3"/>
    <w:rsid w:val="0068708D"/>
    <w:rsid w:val="00687F75"/>
    <w:rsid w:val="0069287F"/>
    <w:rsid w:val="006953AB"/>
    <w:rsid w:val="00696665"/>
    <w:rsid w:val="00696A14"/>
    <w:rsid w:val="006A716F"/>
    <w:rsid w:val="006B08DD"/>
    <w:rsid w:val="006B2B99"/>
    <w:rsid w:val="006B615B"/>
    <w:rsid w:val="006B722B"/>
    <w:rsid w:val="006C0C5F"/>
    <w:rsid w:val="006C2721"/>
    <w:rsid w:val="006D04DB"/>
    <w:rsid w:val="006D3A4F"/>
    <w:rsid w:val="006D72AF"/>
    <w:rsid w:val="006E0FE6"/>
    <w:rsid w:val="006E4C21"/>
    <w:rsid w:val="006E69E8"/>
    <w:rsid w:val="006F2AE9"/>
    <w:rsid w:val="006F61D0"/>
    <w:rsid w:val="006F65B0"/>
    <w:rsid w:val="00700169"/>
    <w:rsid w:val="00703784"/>
    <w:rsid w:val="0070396C"/>
    <w:rsid w:val="00704D53"/>
    <w:rsid w:val="00706F52"/>
    <w:rsid w:val="007104DE"/>
    <w:rsid w:val="00712A75"/>
    <w:rsid w:val="00715AC3"/>
    <w:rsid w:val="00717DF0"/>
    <w:rsid w:val="007204FD"/>
    <w:rsid w:val="0072279A"/>
    <w:rsid w:val="007240E7"/>
    <w:rsid w:val="0073145C"/>
    <w:rsid w:val="00733386"/>
    <w:rsid w:val="007439F6"/>
    <w:rsid w:val="00747AAE"/>
    <w:rsid w:val="007509FB"/>
    <w:rsid w:val="00750A59"/>
    <w:rsid w:val="00750EFD"/>
    <w:rsid w:val="00757202"/>
    <w:rsid w:val="00767266"/>
    <w:rsid w:val="00770F6D"/>
    <w:rsid w:val="00775548"/>
    <w:rsid w:val="00784E47"/>
    <w:rsid w:val="00792128"/>
    <w:rsid w:val="00792C77"/>
    <w:rsid w:val="007A149E"/>
    <w:rsid w:val="007A360E"/>
    <w:rsid w:val="007A60CD"/>
    <w:rsid w:val="007A71DE"/>
    <w:rsid w:val="007A7D4C"/>
    <w:rsid w:val="007B1C52"/>
    <w:rsid w:val="007B521B"/>
    <w:rsid w:val="007B6893"/>
    <w:rsid w:val="007B6A22"/>
    <w:rsid w:val="007C5542"/>
    <w:rsid w:val="007C641E"/>
    <w:rsid w:val="007C6C39"/>
    <w:rsid w:val="007C76BD"/>
    <w:rsid w:val="007C7D9C"/>
    <w:rsid w:val="007D09FF"/>
    <w:rsid w:val="007D632C"/>
    <w:rsid w:val="007D79C3"/>
    <w:rsid w:val="007E06E3"/>
    <w:rsid w:val="007E1B13"/>
    <w:rsid w:val="007E5F59"/>
    <w:rsid w:val="007F007D"/>
    <w:rsid w:val="00801B4E"/>
    <w:rsid w:val="00815BE4"/>
    <w:rsid w:val="0082173F"/>
    <w:rsid w:val="008235E5"/>
    <w:rsid w:val="00823EE5"/>
    <w:rsid w:val="00825868"/>
    <w:rsid w:val="0082597A"/>
    <w:rsid w:val="008263CD"/>
    <w:rsid w:val="00831168"/>
    <w:rsid w:val="0083628B"/>
    <w:rsid w:val="00836FB1"/>
    <w:rsid w:val="008379FA"/>
    <w:rsid w:val="00844302"/>
    <w:rsid w:val="00845F80"/>
    <w:rsid w:val="008518C6"/>
    <w:rsid w:val="0086251E"/>
    <w:rsid w:val="00867B03"/>
    <w:rsid w:val="0087261B"/>
    <w:rsid w:val="00874D5A"/>
    <w:rsid w:val="008762CA"/>
    <w:rsid w:val="0088481F"/>
    <w:rsid w:val="008859AB"/>
    <w:rsid w:val="00894321"/>
    <w:rsid w:val="00895D33"/>
    <w:rsid w:val="008A1743"/>
    <w:rsid w:val="008A2565"/>
    <w:rsid w:val="008A2BA1"/>
    <w:rsid w:val="008A756E"/>
    <w:rsid w:val="008A7BB6"/>
    <w:rsid w:val="008B4B77"/>
    <w:rsid w:val="008B5D44"/>
    <w:rsid w:val="008C07BD"/>
    <w:rsid w:val="008C1077"/>
    <w:rsid w:val="008C15E5"/>
    <w:rsid w:val="008C2017"/>
    <w:rsid w:val="008C3146"/>
    <w:rsid w:val="008D47FF"/>
    <w:rsid w:val="008D4AE1"/>
    <w:rsid w:val="008F1E4D"/>
    <w:rsid w:val="008F4922"/>
    <w:rsid w:val="008F4A13"/>
    <w:rsid w:val="008F4C4E"/>
    <w:rsid w:val="00901DB0"/>
    <w:rsid w:val="009072B9"/>
    <w:rsid w:val="00910A5B"/>
    <w:rsid w:val="00911FD0"/>
    <w:rsid w:val="00917BA7"/>
    <w:rsid w:val="00923591"/>
    <w:rsid w:val="00924627"/>
    <w:rsid w:val="00926D96"/>
    <w:rsid w:val="009301FB"/>
    <w:rsid w:val="00930668"/>
    <w:rsid w:val="00930BA4"/>
    <w:rsid w:val="0093547D"/>
    <w:rsid w:val="0094254E"/>
    <w:rsid w:val="00943534"/>
    <w:rsid w:val="00945E53"/>
    <w:rsid w:val="009517FE"/>
    <w:rsid w:val="00955EB6"/>
    <w:rsid w:val="00957D4C"/>
    <w:rsid w:val="00960E84"/>
    <w:rsid w:val="0096121A"/>
    <w:rsid w:val="00971B68"/>
    <w:rsid w:val="009734B7"/>
    <w:rsid w:val="009738E3"/>
    <w:rsid w:val="00973A86"/>
    <w:rsid w:val="00984299"/>
    <w:rsid w:val="00985C2E"/>
    <w:rsid w:val="0099002D"/>
    <w:rsid w:val="00990203"/>
    <w:rsid w:val="009902FA"/>
    <w:rsid w:val="009976CA"/>
    <w:rsid w:val="009A367A"/>
    <w:rsid w:val="009A6B45"/>
    <w:rsid w:val="009A7764"/>
    <w:rsid w:val="009A7ABB"/>
    <w:rsid w:val="009B48F6"/>
    <w:rsid w:val="009B4CAF"/>
    <w:rsid w:val="009B5BCD"/>
    <w:rsid w:val="009C4E54"/>
    <w:rsid w:val="009C6ADA"/>
    <w:rsid w:val="009C75EF"/>
    <w:rsid w:val="009D7775"/>
    <w:rsid w:val="009E158A"/>
    <w:rsid w:val="009E3351"/>
    <w:rsid w:val="009E6BFE"/>
    <w:rsid w:val="009F048C"/>
    <w:rsid w:val="009F2D04"/>
    <w:rsid w:val="009F51D9"/>
    <w:rsid w:val="009F5D86"/>
    <w:rsid w:val="009F77B2"/>
    <w:rsid w:val="009F7AE7"/>
    <w:rsid w:val="00A02FD3"/>
    <w:rsid w:val="00A03294"/>
    <w:rsid w:val="00A03DEA"/>
    <w:rsid w:val="00A040B5"/>
    <w:rsid w:val="00A107C4"/>
    <w:rsid w:val="00A1293B"/>
    <w:rsid w:val="00A1329F"/>
    <w:rsid w:val="00A315A1"/>
    <w:rsid w:val="00A32551"/>
    <w:rsid w:val="00A33ABE"/>
    <w:rsid w:val="00A34769"/>
    <w:rsid w:val="00A36CDE"/>
    <w:rsid w:val="00A44619"/>
    <w:rsid w:val="00A46392"/>
    <w:rsid w:val="00A536EF"/>
    <w:rsid w:val="00A62055"/>
    <w:rsid w:val="00A6406D"/>
    <w:rsid w:val="00A65E6B"/>
    <w:rsid w:val="00A66446"/>
    <w:rsid w:val="00A705DE"/>
    <w:rsid w:val="00A74D6E"/>
    <w:rsid w:val="00A777DD"/>
    <w:rsid w:val="00A836D6"/>
    <w:rsid w:val="00A9395B"/>
    <w:rsid w:val="00A965FA"/>
    <w:rsid w:val="00AA011A"/>
    <w:rsid w:val="00AA10DB"/>
    <w:rsid w:val="00AA1A05"/>
    <w:rsid w:val="00AA34D7"/>
    <w:rsid w:val="00AA3A02"/>
    <w:rsid w:val="00AB02F4"/>
    <w:rsid w:val="00AB1B16"/>
    <w:rsid w:val="00AB2FCA"/>
    <w:rsid w:val="00AB4226"/>
    <w:rsid w:val="00AB74AD"/>
    <w:rsid w:val="00AC554F"/>
    <w:rsid w:val="00AC76D3"/>
    <w:rsid w:val="00AD24CE"/>
    <w:rsid w:val="00AD24DC"/>
    <w:rsid w:val="00AD2F11"/>
    <w:rsid w:val="00AD4EB3"/>
    <w:rsid w:val="00AE1889"/>
    <w:rsid w:val="00AE1D87"/>
    <w:rsid w:val="00AE2116"/>
    <w:rsid w:val="00AE52AF"/>
    <w:rsid w:val="00AF1002"/>
    <w:rsid w:val="00AF450C"/>
    <w:rsid w:val="00AF633E"/>
    <w:rsid w:val="00AF70E6"/>
    <w:rsid w:val="00B0013D"/>
    <w:rsid w:val="00B05636"/>
    <w:rsid w:val="00B05D75"/>
    <w:rsid w:val="00B119C4"/>
    <w:rsid w:val="00B15A3E"/>
    <w:rsid w:val="00B21AB2"/>
    <w:rsid w:val="00B229F5"/>
    <w:rsid w:val="00B26FBA"/>
    <w:rsid w:val="00B30130"/>
    <w:rsid w:val="00B305A9"/>
    <w:rsid w:val="00B33B76"/>
    <w:rsid w:val="00B345D1"/>
    <w:rsid w:val="00B432A7"/>
    <w:rsid w:val="00B46505"/>
    <w:rsid w:val="00B60C4A"/>
    <w:rsid w:val="00B6269F"/>
    <w:rsid w:val="00B63648"/>
    <w:rsid w:val="00B704BC"/>
    <w:rsid w:val="00B7352C"/>
    <w:rsid w:val="00B80471"/>
    <w:rsid w:val="00B91E55"/>
    <w:rsid w:val="00B91EAF"/>
    <w:rsid w:val="00B95EDF"/>
    <w:rsid w:val="00BA56AA"/>
    <w:rsid w:val="00BB0C9A"/>
    <w:rsid w:val="00BB11B0"/>
    <w:rsid w:val="00BB19FE"/>
    <w:rsid w:val="00BB29B4"/>
    <w:rsid w:val="00BB6004"/>
    <w:rsid w:val="00BC115C"/>
    <w:rsid w:val="00BC162D"/>
    <w:rsid w:val="00BC2759"/>
    <w:rsid w:val="00BC3BAC"/>
    <w:rsid w:val="00BC4418"/>
    <w:rsid w:val="00BC56D8"/>
    <w:rsid w:val="00BD0194"/>
    <w:rsid w:val="00BD1275"/>
    <w:rsid w:val="00BD2A99"/>
    <w:rsid w:val="00BD2F60"/>
    <w:rsid w:val="00BD42D5"/>
    <w:rsid w:val="00BD48B7"/>
    <w:rsid w:val="00BD65A4"/>
    <w:rsid w:val="00BD7E32"/>
    <w:rsid w:val="00BE270C"/>
    <w:rsid w:val="00BE314F"/>
    <w:rsid w:val="00BE38F7"/>
    <w:rsid w:val="00BE5F8B"/>
    <w:rsid w:val="00BE7A7A"/>
    <w:rsid w:val="00BF0CB5"/>
    <w:rsid w:val="00BF226F"/>
    <w:rsid w:val="00BF6747"/>
    <w:rsid w:val="00C039DA"/>
    <w:rsid w:val="00C03CBC"/>
    <w:rsid w:val="00C1019C"/>
    <w:rsid w:val="00C112EE"/>
    <w:rsid w:val="00C15282"/>
    <w:rsid w:val="00C157B5"/>
    <w:rsid w:val="00C16335"/>
    <w:rsid w:val="00C2140D"/>
    <w:rsid w:val="00C23023"/>
    <w:rsid w:val="00C23ADB"/>
    <w:rsid w:val="00C24427"/>
    <w:rsid w:val="00C31242"/>
    <w:rsid w:val="00C3168C"/>
    <w:rsid w:val="00C32BBF"/>
    <w:rsid w:val="00C32C87"/>
    <w:rsid w:val="00C32F8E"/>
    <w:rsid w:val="00C34459"/>
    <w:rsid w:val="00C3553E"/>
    <w:rsid w:val="00C37583"/>
    <w:rsid w:val="00C41172"/>
    <w:rsid w:val="00C41A6A"/>
    <w:rsid w:val="00C41EC9"/>
    <w:rsid w:val="00C4310C"/>
    <w:rsid w:val="00C479A9"/>
    <w:rsid w:val="00C47E5C"/>
    <w:rsid w:val="00C5055E"/>
    <w:rsid w:val="00C50948"/>
    <w:rsid w:val="00C54A82"/>
    <w:rsid w:val="00C5733A"/>
    <w:rsid w:val="00C61F99"/>
    <w:rsid w:val="00C64250"/>
    <w:rsid w:val="00C7345F"/>
    <w:rsid w:val="00C73CCE"/>
    <w:rsid w:val="00C77D6C"/>
    <w:rsid w:val="00C855B3"/>
    <w:rsid w:val="00C900C1"/>
    <w:rsid w:val="00C94589"/>
    <w:rsid w:val="00CA4AEE"/>
    <w:rsid w:val="00CA5547"/>
    <w:rsid w:val="00CA5A3D"/>
    <w:rsid w:val="00CB0A59"/>
    <w:rsid w:val="00CB5C9C"/>
    <w:rsid w:val="00CC17BC"/>
    <w:rsid w:val="00CC1A88"/>
    <w:rsid w:val="00CC1B1B"/>
    <w:rsid w:val="00CC69B7"/>
    <w:rsid w:val="00CD053F"/>
    <w:rsid w:val="00CE5F85"/>
    <w:rsid w:val="00CE6992"/>
    <w:rsid w:val="00CE7428"/>
    <w:rsid w:val="00CF0446"/>
    <w:rsid w:val="00CF13D7"/>
    <w:rsid w:val="00CF230D"/>
    <w:rsid w:val="00CF350E"/>
    <w:rsid w:val="00CF5C1C"/>
    <w:rsid w:val="00CF6E9E"/>
    <w:rsid w:val="00D01BFC"/>
    <w:rsid w:val="00D03AB5"/>
    <w:rsid w:val="00D04456"/>
    <w:rsid w:val="00D108BE"/>
    <w:rsid w:val="00D11EAB"/>
    <w:rsid w:val="00D15713"/>
    <w:rsid w:val="00D17839"/>
    <w:rsid w:val="00D22B4A"/>
    <w:rsid w:val="00D23935"/>
    <w:rsid w:val="00D24146"/>
    <w:rsid w:val="00D24A5B"/>
    <w:rsid w:val="00D31550"/>
    <w:rsid w:val="00D32A68"/>
    <w:rsid w:val="00D371DF"/>
    <w:rsid w:val="00D50A11"/>
    <w:rsid w:val="00D561CD"/>
    <w:rsid w:val="00D60741"/>
    <w:rsid w:val="00D6316B"/>
    <w:rsid w:val="00D675FA"/>
    <w:rsid w:val="00D70198"/>
    <w:rsid w:val="00D73DDF"/>
    <w:rsid w:val="00D75751"/>
    <w:rsid w:val="00D93737"/>
    <w:rsid w:val="00D9495A"/>
    <w:rsid w:val="00DA3988"/>
    <w:rsid w:val="00DA50FF"/>
    <w:rsid w:val="00DB064C"/>
    <w:rsid w:val="00DB2C4E"/>
    <w:rsid w:val="00DB30FE"/>
    <w:rsid w:val="00DB45C3"/>
    <w:rsid w:val="00DB50F3"/>
    <w:rsid w:val="00DB72A5"/>
    <w:rsid w:val="00DC1FC2"/>
    <w:rsid w:val="00DC30FB"/>
    <w:rsid w:val="00DC5345"/>
    <w:rsid w:val="00DC7418"/>
    <w:rsid w:val="00DD21FA"/>
    <w:rsid w:val="00DD330F"/>
    <w:rsid w:val="00DD417F"/>
    <w:rsid w:val="00DE3318"/>
    <w:rsid w:val="00DE3C50"/>
    <w:rsid w:val="00E007B3"/>
    <w:rsid w:val="00E01124"/>
    <w:rsid w:val="00E02CEF"/>
    <w:rsid w:val="00E03F23"/>
    <w:rsid w:val="00E04084"/>
    <w:rsid w:val="00E06560"/>
    <w:rsid w:val="00E07AA4"/>
    <w:rsid w:val="00E102BF"/>
    <w:rsid w:val="00E12A27"/>
    <w:rsid w:val="00E14786"/>
    <w:rsid w:val="00E2152D"/>
    <w:rsid w:val="00E21788"/>
    <w:rsid w:val="00E2208D"/>
    <w:rsid w:val="00E22BF3"/>
    <w:rsid w:val="00E26B0B"/>
    <w:rsid w:val="00E3424D"/>
    <w:rsid w:val="00E36D35"/>
    <w:rsid w:val="00E36E8A"/>
    <w:rsid w:val="00E40BC3"/>
    <w:rsid w:val="00E443DE"/>
    <w:rsid w:val="00E5086F"/>
    <w:rsid w:val="00E5644E"/>
    <w:rsid w:val="00E655E1"/>
    <w:rsid w:val="00E7356A"/>
    <w:rsid w:val="00E73E2B"/>
    <w:rsid w:val="00E76887"/>
    <w:rsid w:val="00E90007"/>
    <w:rsid w:val="00E90467"/>
    <w:rsid w:val="00E90F20"/>
    <w:rsid w:val="00E93BFA"/>
    <w:rsid w:val="00E9446C"/>
    <w:rsid w:val="00E950ED"/>
    <w:rsid w:val="00E964AC"/>
    <w:rsid w:val="00EA3468"/>
    <w:rsid w:val="00EA4705"/>
    <w:rsid w:val="00EA7A89"/>
    <w:rsid w:val="00EB282B"/>
    <w:rsid w:val="00EB43F8"/>
    <w:rsid w:val="00EC4713"/>
    <w:rsid w:val="00ED2B4A"/>
    <w:rsid w:val="00ED6A51"/>
    <w:rsid w:val="00EE1CFF"/>
    <w:rsid w:val="00EE46CE"/>
    <w:rsid w:val="00EE4E35"/>
    <w:rsid w:val="00EE5BDD"/>
    <w:rsid w:val="00EE6348"/>
    <w:rsid w:val="00EE7CAB"/>
    <w:rsid w:val="00EF08AE"/>
    <w:rsid w:val="00EF4A73"/>
    <w:rsid w:val="00EF62F3"/>
    <w:rsid w:val="00EF6F37"/>
    <w:rsid w:val="00F013E0"/>
    <w:rsid w:val="00F02378"/>
    <w:rsid w:val="00F03FCD"/>
    <w:rsid w:val="00F17570"/>
    <w:rsid w:val="00F178C4"/>
    <w:rsid w:val="00F204A5"/>
    <w:rsid w:val="00F30D47"/>
    <w:rsid w:val="00F33AAF"/>
    <w:rsid w:val="00F41E09"/>
    <w:rsid w:val="00F42C48"/>
    <w:rsid w:val="00F45C58"/>
    <w:rsid w:val="00F4608A"/>
    <w:rsid w:val="00F50362"/>
    <w:rsid w:val="00F54719"/>
    <w:rsid w:val="00F54828"/>
    <w:rsid w:val="00F555D0"/>
    <w:rsid w:val="00F5706D"/>
    <w:rsid w:val="00F57777"/>
    <w:rsid w:val="00F61259"/>
    <w:rsid w:val="00F61856"/>
    <w:rsid w:val="00F71CE5"/>
    <w:rsid w:val="00F75B0B"/>
    <w:rsid w:val="00F75E4C"/>
    <w:rsid w:val="00F763CD"/>
    <w:rsid w:val="00F77316"/>
    <w:rsid w:val="00F800B0"/>
    <w:rsid w:val="00F822D6"/>
    <w:rsid w:val="00F83760"/>
    <w:rsid w:val="00F83F38"/>
    <w:rsid w:val="00F85BBC"/>
    <w:rsid w:val="00F87742"/>
    <w:rsid w:val="00F903CE"/>
    <w:rsid w:val="00F91C8E"/>
    <w:rsid w:val="00F96E9B"/>
    <w:rsid w:val="00FA04C4"/>
    <w:rsid w:val="00FA137B"/>
    <w:rsid w:val="00FA4EF0"/>
    <w:rsid w:val="00FB55C9"/>
    <w:rsid w:val="00FB6962"/>
    <w:rsid w:val="00FB7B92"/>
    <w:rsid w:val="00FC287A"/>
    <w:rsid w:val="00FD0CB4"/>
    <w:rsid w:val="00FD4759"/>
    <w:rsid w:val="00FD57F3"/>
    <w:rsid w:val="00FD5BD7"/>
    <w:rsid w:val="00FE0EA8"/>
    <w:rsid w:val="00FE14C9"/>
    <w:rsid w:val="00FE1CDF"/>
    <w:rsid w:val="00FE3D79"/>
    <w:rsid w:val="00FE49C2"/>
    <w:rsid w:val="00FF1E44"/>
    <w:rsid w:val="00FF2C1A"/>
    <w:rsid w:val="00FF33EC"/>
    <w:rsid w:val="00FF6103"/>
    <w:rsid w:val="018C84E7"/>
    <w:rsid w:val="020B92FD"/>
    <w:rsid w:val="054F1133"/>
    <w:rsid w:val="05A2E1FF"/>
    <w:rsid w:val="06569615"/>
    <w:rsid w:val="099E4BAD"/>
    <w:rsid w:val="0A083F64"/>
    <w:rsid w:val="0B7151CC"/>
    <w:rsid w:val="0B73DE4A"/>
    <w:rsid w:val="0BAD0843"/>
    <w:rsid w:val="0CFB9593"/>
    <w:rsid w:val="0E1DF30E"/>
    <w:rsid w:val="0E87ABBB"/>
    <w:rsid w:val="0EB20D42"/>
    <w:rsid w:val="0EDEABAC"/>
    <w:rsid w:val="10E3A698"/>
    <w:rsid w:val="11D802C9"/>
    <w:rsid w:val="1210E5D7"/>
    <w:rsid w:val="134AED7B"/>
    <w:rsid w:val="138157A0"/>
    <w:rsid w:val="13875B53"/>
    <w:rsid w:val="14075B11"/>
    <w:rsid w:val="148F6AFD"/>
    <w:rsid w:val="14AE737F"/>
    <w:rsid w:val="16A4BF38"/>
    <w:rsid w:val="17F09CCC"/>
    <w:rsid w:val="18356903"/>
    <w:rsid w:val="18E2DF55"/>
    <w:rsid w:val="1B01FD11"/>
    <w:rsid w:val="1B5E9550"/>
    <w:rsid w:val="1B8FDE16"/>
    <w:rsid w:val="1C63C468"/>
    <w:rsid w:val="1CB77087"/>
    <w:rsid w:val="1EAFAF14"/>
    <w:rsid w:val="202B68C1"/>
    <w:rsid w:val="22EBE7E9"/>
    <w:rsid w:val="240586E7"/>
    <w:rsid w:val="242C8F44"/>
    <w:rsid w:val="25507E1A"/>
    <w:rsid w:val="25A8E62E"/>
    <w:rsid w:val="263980B1"/>
    <w:rsid w:val="271BA13E"/>
    <w:rsid w:val="27DA45E4"/>
    <w:rsid w:val="284E77C4"/>
    <w:rsid w:val="2913BEB5"/>
    <w:rsid w:val="2A85E59B"/>
    <w:rsid w:val="2B70F896"/>
    <w:rsid w:val="2C14DF09"/>
    <w:rsid w:val="30C29D13"/>
    <w:rsid w:val="32475185"/>
    <w:rsid w:val="33C2DC90"/>
    <w:rsid w:val="35889C1D"/>
    <w:rsid w:val="3682C543"/>
    <w:rsid w:val="37071D2C"/>
    <w:rsid w:val="37735E9F"/>
    <w:rsid w:val="37E69BA5"/>
    <w:rsid w:val="3876365B"/>
    <w:rsid w:val="38DEC612"/>
    <w:rsid w:val="3A229335"/>
    <w:rsid w:val="3B0E192C"/>
    <w:rsid w:val="3C179CE6"/>
    <w:rsid w:val="3C90821D"/>
    <w:rsid w:val="3EF54F12"/>
    <w:rsid w:val="3F3849F5"/>
    <w:rsid w:val="40706A21"/>
    <w:rsid w:val="40ED733C"/>
    <w:rsid w:val="42F50F49"/>
    <w:rsid w:val="42F793C1"/>
    <w:rsid w:val="442F9AB7"/>
    <w:rsid w:val="448D6F0A"/>
    <w:rsid w:val="471380B6"/>
    <w:rsid w:val="4790E11B"/>
    <w:rsid w:val="486F1E56"/>
    <w:rsid w:val="4898E34D"/>
    <w:rsid w:val="4975A2F3"/>
    <w:rsid w:val="4C34769D"/>
    <w:rsid w:val="4CBB1C65"/>
    <w:rsid w:val="4D3395E8"/>
    <w:rsid w:val="4D6B3115"/>
    <w:rsid w:val="4DE7C799"/>
    <w:rsid w:val="4E24C7FC"/>
    <w:rsid w:val="5086AC65"/>
    <w:rsid w:val="509347EF"/>
    <w:rsid w:val="538D83A7"/>
    <w:rsid w:val="53B02D59"/>
    <w:rsid w:val="558B1FFE"/>
    <w:rsid w:val="5650E8BD"/>
    <w:rsid w:val="5696B00D"/>
    <w:rsid w:val="581C00B7"/>
    <w:rsid w:val="5C8AF3B3"/>
    <w:rsid w:val="5D00BC80"/>
    <w:rsid w:val="5E7CB02E"/>
    <w:rsid w:val="5FBA6B3C"/>
    <w:rsid w:val="5FD0B423"/>
    <w:rsid w:val="60763667"/>
    <w:rsid w:val="6269A68F"/>
    <w:rsid w:val="6524CBB8"/>
    <w:rsid w:val="6626458E"/>
    <w:rsid w:val="6750CDB8"/>
    <w:rsid w:val="6A354156"/>
    <w:rsid w:val="6A657FFF"/>
    <w:rsid w:val="6B713C55"/>
    <w:rsid w:val="6DB2A04F"/>
    <w:rsid w:val="6E1277D1"/>
    <w:rsid w:val="6E1DE400"/>
    <w:rsid w:val="6E344415"/>
    <w:rsid w:val="6F92ABF9"/>
    <w:rsid w:val="7302FA02"/>
    <w:rsid w:val="7478FD2D"/>
    <w:rsid w:val="76720515"/>
    <w:rsid w:val="78432DAD"/>
    <w:rsid w:val="788AB3E6"/>
    <w:rsid w:val="7C62C5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5A1DE3"/>
  <w15:chartTrackingRefBased/>
  <w15:docId w15:val="{6101744D-140C-4A09-8A09-23F78A274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sz w:val="24"/>
    </w:rPr>
  </w:style>
  <w:style w:type="paragraph" w:styleId="Heading4">
    <w:name w:val="heading 4"/>
    <w:basedOn w:val="Normal"/>
    <w:next w:val="Normal"/>
    <w:link w:val="Heading4Char"/>
    <w:qFormat/>
    <w:pPr>
      <w:keepNext/>
      <w:jc w:val="center"/>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decimal" w:pos="1440"/>
        <w:tab w:val="left" w:pos="1980"/>
      </w:tabs>
      <w:ind w:left="1980" w:hanging="1980"/>
    </w:pPr>
    <w:rPr>
      <w:sz w:val="24"/>
    </w:rPr>
  </w:style>
  <w:style w:type="paragraph" w:styleId="BodyTextIndent2">
    <w:name w:val="Body Text Indent 2"/>
    <w:basedOn w:val="Normal"/>
    <w:pPr>
      <w:tabs>
        <w:tab w:val="decimal" w:pos="720"/>
        <w:tab w:val="left" w:pos="1260"/>
      </w:tabs>
      <w:ind w:left="1260" w:hanging="1260"/>
    </w:pPr>
    <w:rPr>
      <w:sz w:val="24"/>
    </w:rPr>
  </w:style>
  <w:style w:type="paragraph" w:styleId="BodyText">
    <w:name w:val="Body Text"/>
    <w:basedOn w:val="Normal"/>
    <w:link w:val="BodyTextChar"/>
    <w:pPr>
      <w:tabs>
        <w:tab w:val="decimal" w:pos="720"/>
        <w:tab w:val="left" w:pos="1260"/>
      </w:tabs>
    </w:pPr>
    <w:rPr>
      <w:sz w:val="24"/>
    </w:rPr>
  </w:style>
  <w:style w:type="paragraph" w:styleId="BodyTextIndent3">
    <w:name w:val="Body Text Indent 3"/>
    <w:basedOn w:val="Normal"/>
    <w:pPr>
      <w:tabs>
        <w:tab w:val="decimal" w:pos="1620"/>
        <w:tab w:val="left" w:pos="2160"/>
      </w:tabs>
      <w:ind w:left="720"/>
    </w:pPr>
    <w:rPr>
      <w:sz w:val="24"/>
    </w:rPr>
  </w:style>
  <w:style w:type="paragraph" w:styleId="BodyText2">
    <w:name w:val="Body Text 2"/>
    <w:basedOn w:val="Normal"/>
    <w:pPr>
      <w:tabs>
        <w:tab w:val="left" w:pos="720"/>
      </w:tabs>
      <w:jc w:val="both"/>
    </w:pPr>
    <w:rPr>
      <w:sz w:val="24"/>
    </w:rPr>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3">
    <w:name w:val="Body Text 3"/>
    <w:basedOn w:val="Normal"/>
    <w:link w:val="BodyText3Char"/>
    <w:rPr>
      <w:rFonts w:ascii="Arial" w:hAnsi="Arial"/>
      <w:sz w:val="22"/>
    </w:rPr>
  </w:style>
  <w:style w:type="paragraph" w:styleId="Title">
    <w:name w:val="Title"/>
    <w:basedOn w:val="Normal"/>
    <w:qFormat/>
    <w:pPr>
      <w:widowControl w:val="0"/>
      <w:jc w:val="center"/>
    </w:pPr>
    <w:rPr>
      <w:rFonts w:ascii="Arial" w:hAnsi="Arial"/>
      <w:b/>
      <w:snapToGrid w:val="0"/>
      <w:sz w:val="22"/>
    </w:rPr>
  </w:style>
  <w:style w:type="paragraph" w:customStyle="1" w:styleId="OmniPage1">
    <w:name w:val="OmniPage #1"/>
    <w:basedOn w:val="Normal"/>
    <w:pPr>
      <w:spacing w:line="260" w:lineRule="exact"/>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874D5A"/>
    <w:rPr>
      <w:rFonts w:ascii="Tahoma" w:hAnsi="Tahoma" w:cs="Tahoma"/>
      <w:sz w:val="16"/>
      <w:szCs w:val="16"/>
    </w:rPr>
  </w:style>
  <w:style w:type="table" w:styleId="TableGrid">
    <w:name w:val="Table Grid"/>
    <w:basedOn w:val="TableNormal"/>
    <w:rsid w:val="001109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90007"/>
    <w:rPr>
      <w:color w:val="0000FF"/>
      <w:u w:val="single"/>
    </w:rPr>
  </w:style>
  <w:style w:type="paragraph" w:customStyle="1" w:styleId="Style0">
    <w:name w:val="Style0"/>
    <w:rsid w:val="000C52B8"/>
    <w:pPr>
      <w:autoSpaceDE w:val="0"/>
      <w:autoSpaceDN w:val="0"/>
      <w:adjustRightInd w:val="0"/>
    </w:pPr>
    <w:rPr>
      <w:rFonts w:ascii="Arial" w:hAnsi="Arial"/>
      <w:sz w:val="24"/>
      <w:szCs w:val="24"/>
    </w:rPr>
  </w:style>
  <w:style w:type="character" w:styleId="Emphasis">
    <w:name w:val="Emphasis"/>
    <w:qFormat/>
    <w:rsid w:val="001F3C4C"/>
    <w:rPr>
      <w:i/>
      <w:iCs/>
    </w:rPr>
  </w:style>
  <w:style w:type="character" w:customStyle="1" w:styleId="BodyTextChar">
    <w:name w:val="Body Text Char"/>
    <w:link w:val="BodyText"/>
    <w:rsid w:val="003E76CE"/>
    <w:rPr>
      <w:sz w:val="24"/>
    </w:rPr>
  </w:style>
  <w:style w:type="paragraph" w:styleId="ListParagraph">
    <w:name w:val="List Paragraph"/>
    <w:basedOn w:val="Normal"/>
    <w:uiPriority w:val="34"/>
    <w:qFormat/>
    <w:rsid w:val="004708A2"/>
    <w:pPr>
      <w:ind w:left="720"/>
    </w:pPr>
  </w:style>
  <w:style w:type="character" w:customStyle="1" w:styleId="FooterChar">
    <w:name w:val="Footer Char"/>
    <w:link w:val="Footer"/>
    <w:uiPriority w:val="99"/>
    <w:rsid w:val="00AE2116"/>
  </w:style>
  <w:style w:type="character" w:customStyle="1" w:styleId="zzmpTrailerItem">
    <w:name w:val="zzmpTrailerItem"/>
    <w:rsid w:val="007204FD"/>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Heading4Char">
    <w:name w:val="Heading 4 Char"/>
    <w:link w:val="Heading4"/>
    <w:rsid w:val="007A7D4C"/>
    <w:rPr>
      <w:rFonts w:ascii="Arial" w:hAnsi="Arial"/>
      <w:b/>
      <w:sz w:val="22"/>
    </w:rPr>
  </w:style>
  <w:style w:type="paragraph" w:customStyle="1" w:styleId="DraftStampText">
    <w:name w:val="Draft Stamp Text"/>
    <w:basedOn w:val="Normal"/>
    <w:rsid w:val="000A5FBA"/>
    <w:pPr>
      <w:jc w:val="right"/>
    </w:pPr>
    <w:rPr>
      <w:rFonts w:cs="Arial"/>
      <w:bCs/>
      <w:caps/>
      <w:sz w:val="24"/>
      <w:szCs w:val="24"/>
    </w:rPr>
  </w:style>
  <w:style w:type="character" w:customStyle="1" w:styleId="BodyText3Char">
    <w:name w:val="Body Text 3 Char"/>
    <w:link w:val="BodyText3"/>
    <w:rsid w:val="00194504"/>
    <w:rPr>
      <w:rFonts w:ascii="Arial" w:hAnsi="Arial"/>
      <w:sz w:val="22"/>
    </w:rPr>
  </w:style>
  <w:style w:type="paragraph" w:styleId="TOC1">
    <w:name w:val="toc 1"/>
    <w:basedOn w:val="Normal"/>
    <w:next w:val="Normal"/>
    <w:autoRedefine/>
    <w:uiPriority w:val="39"/>
    <w:rsid w:val="003147C9"/>
    <w:pPr>
      <w:tabs>
        <w:tab w:val="left" w:pos="720"/>
        <w:tab w:val="right" w:leader="dot" w:pos="9350"/>
      </w:tabs>
      <w:spacing w:before="240" w:line="480" w:lineRule="auto"/>
    </w:pPr>
  </w:style>
  <w:style w:type="paragraph" w:styleId="TOC3">
    <w:name w:val="toc 3"/>
    <w:basedOn w:val="Normal"/>
    <w:next w:val="Normal"/>
    <w:autoRedefine/>
    <w:uiPriority w:val="39"/>
    <w:rsid w:val="003147C9"/>
    <w:pPr>
      <w:tabs>
        <w:tab w:val="left" w:pos="720"/>
        <w:tab w:val="left" w:pos="1440"/>
        <w:tab w:val="right" w:leader="dot" w:pos="9350"/>
      </w:tabs>
      <w:ind w:left="400"/>
    </w:pPr>
  </w:style>
  <w:style w:type="character" w:customStyle="1" w:styleId="DeltaViewInsertion">
    <w:name w:val="DeltaView Insertion"/>
    <w:uiPriority w:val="99"/>
    <w:rsid w:val="00527B80"/>
    <w:rPr>
      <w:color w:val="0000FF"/>
      <w:u w:val="double"/>
    </w:rPr>
  </w:style>
  <w:style w:type="character" w:customStyle="1" w:styleId="DeltaViewDeletion">
    <w:name w:val="DeltaView Deletion"/>
    <w:uiPriority w:val="99"/>
    <w:rsid w:val="00527B80"/>
    <w:rPr>
      <w:strike/>
      <w:color w:val="FF0000"/>
    </w:rPr>
  </w:style>
  <w:style w:type="paragraph" w:styleId="TOC2">
    <w:name w:val="toc 2"/>
    <w:basedOn w:val="Normal"/>
    <w:next w:val="Normal"/>
    <w:autoRedefine/>
    <w:uiPriority w:val="39"/>
    <w:rsid w:val="00281225"/>
    <w:pPr>
      <w:ind w:left="200"/>
    </w:pPr>
  </w:style>
  <w:style w:type="paragraph" w:styleId="CommentSubject">
    <w:name w:val="annotation subject"/>
    <w:basedOn w:val="CommentText"/>
    <w:next w:val="CommentText"/>
    <w:link w:val="CommentSubjectChar"/>
    <w:rsid w:val="000D4AF2"/>
    <w:rPr>
      <w:b/>
      <w:bCs/>
    </w:rPr>
  </w:style>
  <w:style w:type="character" w:customStyle="1" w:styleId="CommentTextChar">
    <w:name w:val="Comment Text Char"/>
    <w:basedOn w:val="DefaultParagraphFont"/>
    <w:link w:val="CommentText"/>
    <w:semiHidden/>
    <w:rsid w:val="000D4AF2"/>
  </w:style>
  <w:style w:type="character" w:customStyle="1" w:styleId="CommentSubjectChar">
    <w:name w:val="Comment Subject Char"/>
    <w:link w:val="CommentSubject"/>
    <w:rsid w:val="000D4AF2"/>
    <w:rPr>
      <w:b/>
      <w:bCs/>
    </w:rPr>
  </w:style>
  <w:style w:type="paragraph" w:styleId="Revision">
    <w:name w:val="Revision"/>
    <w:hidden/>
    <w:uiPriority w:val="99"/>
    <w:semiHidden/>
    <w:rsid w:val="00B70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61471">
      <w:bodyDiv w:val="1"/>
      <w:marLeft w:val="0"/>
      <w:marRight w:val="0"/>
      <w:marTop w:val="0"/>
      <w:marBottom w:val="0"/>
      <w:divBdr>
        <w:top w:val="none" w:sz="0" w:space="0" w:color="auto"/>
        <w:left w:val="none" w:sz="0" w:space="0" w:color="auto"/>
        <w:bottom w:val="none" w:sz="0" w:space="0" w:color="auto"/>
        <w:right w:val="none" w:sz="0" w:space="0" w:color="auto"/>
      </w:divBdr>
    </w:div>
    <w:div w:id="72095660">
      <w:bodyDiv w:val="1"/>
      <w:marLeft w:val="0"/>
      <w:marRight w:val="0"/>
      <w:marTop w:val="0"/>
      <w:marBottom w:val="0"/>
      <w:divBdr>
        <w:top w:val="none" w:sz="0" w:space="0" w:color="auto"/>
        <w:left w:val="none" w:sz="0" w:space="0" w:color="auto"/>
        <w:bottom w:val="none" w:sz="0" w:space="0" w:color="auto"/>
        <w:right w:val="none" w:sz="0" w:space="0" w:color="auto"/>
      </w:divBdr>
    </w:div>
    <w:div w:id="83377906">
      <w:bodyDiv w:val="1"/>
      <w:marLeft w:val="0"/>
      <w:marRight w:val="0"/>
      <w:marTop w:val="0"/>
      <w:marBottom w:val="0"/>
      <w:divBdr>
        <w:top w:val="none" w:sz="0" w:space="0" w:color="auto"/>
        <w:left w:val="none" w:sz="0" w:space="0" w:color="auto"/>
        <w:bottom w:val="none" w:sz="0" w:space="0" w:color="auto"/>
        <w:right w:val="none" w:sz="0" w:space="0" w:color="auto"/>
      </w:divBdr>
    </w:div>
    <w:div w:id="121509507">
      <w:bodyDiv w:val="1"/>
      <w:marLeft w:val="0"/>
      <w:marRight w:val="0"/>
      <w:marTop w:val="0"/>
      <w:marBottom w:val="0"/>
      <w:divBdr>
        <w:top w:val="none" w:sz="0" w:space="0" w:color="auto"/>
        <w:left w:val="none" w:sz="0" w:space="0" w:color="auto"/>
        <w:bottom w:val="none" w:sz="0" w:space="0" w:color="auto"/>
        <w:right w:val="none" w:sz="0" w:space="0" w:color="auto"/>
      </w:divBdr>
    </w:div>
    <w:div w:id="122315885">
      <w:bodyDiv w:val="1"/>
      <w:marLeft w:val="0"/>
      <w:marRight w:val="0"/>
      <w:marTop w:val="0"/>
      <w:marBottom w:val="0"/>
      <w:divBdr>
        <w:top w:val="none" w:sz="0" w:space="0" w:color="auto"/>
        <w:left w:val="none" w:sz="0" w:space="0" w:color="auto"/>
        <w:bottom w:val="none" w:sz="0" w:space="0" w:color="auto"/>
        <w:right w:val="none" w:sz="0" w:space="0" w:color="auto"/>
      </w:divBdr>
    </w:div>
    <w:div w:id="151722881">
      <w:bodyDiv w:val="1"/>
      <w:marLeft w:val="0"/>
      <w:marRight w:val="0"/>
      <w:marTop w:val="0"/>
      <w:marBottom w:val="0"/>
      <w:divBdr>
        <w:top w:val="none" w:sz="0" w:space="0" w:color="auto"/>
        <w:left w:val="none" w:sz="0" w:space="0" w:color="auto"/>
        <w:bottom w:val="none" w:sz="0" w:space="0" w:color="auto"/>
        <w:right w:val="none" w:sz="0" w:space="0" w:color="auto"/>
      </w:divBdr>
    </w:div>
    <w:div w:id="161170268">
      <w:bodyDiv w:val="1"/>
      <w:marLeft w:val="0"/>
      <w:marRight w:val="0"/>
      <w:marTop w:val="0"/>
      <w:marBottom w:val="0"/>
      <w:divBdr>
        <w:top w:val="none" w:sz="0" w:space="0" w:color="auto"/>
        <w:left w:val="none" w:sz="0" w:space="0" w:color="auto"/>
        <w:bottom w:val="none" w:sz="0" w:space="0" w:color="auto"/>
        <w:right w:val="none" w:sz="0" w:space="0" w:color="auto"/>
      </w:divBdr>
    </w:div>
    <w:div w:id="275067890">
      <w:bodyDiv w:val="1"/>
      <w:marLeft w:val="0"/>
      <w:marRight w:val="0"/>
      <w:marTop w:val="0"/>
      <w:marBottom w:val="0"/>
      <w:divBdr>
        <w:top w:val="none" w:sz="0" w:space="0" w:color="auto"/>
        <w:left w:val="none" w:sz="0" w:space="0" w:color="auto"/>
        <w:bottom w:val="none" w:sz="0" w:space="0" w:color="auto"/>
        <w:right w:val="none" w:sz="0" w:space="0" w:color="auto"/>
      </w:divBdr>
    </w:div>
    <w:div w:id="366295345">
      <w:bodyDiv w:val="1"/>
      <w:marLeft w:val="0"/>
      <w:marRight w:val="0"/>
      <w:marTop w:val="0"/>
      <w:marBottom w:val="0"/>
      <w:divBdr>
        <w:top w:val="none" w:sz="0" w:space="0" w:color="auto"/>
        <w:left w:val="none" w:sz="0" w:space="0" w:color="auto"/>
        <w:bottom w:val="none" w:sz="0" w:space="0" w:color="auto"/>
        <w:right w:val="none" w:sz="0" w:space="0" w:color="auto"/>
      </w:divBdr>
    </w:div>
    <w:div w:id="416636501">
      <w:bodyDiv w:val="1"/>
      <w:marLeft w:val="0"/>
      <w:marRight w:val="0"/>
      <w:marTop w:val="0"/>
      <w:marBottom w:val="0"/>
      <w:divBdr>
        <w:top w:val="none" w:sz="0" w:space="0" w:color="auto"/>
        <w:left w:val="none" w:sz="0" w:space="0" w:color="auto"/>
        <w:bottom w:val="none" w:sz="0" w:space="0" w:color="auto"/>
        <w:right w:val="none" w:sz="0" w:space="0" w:color="auto"/>
      </w:divBdr>
    </w:div>
    <w:div w:id="495731882">
      <w:bodyDiv w:val="1"/>
      <w:marLeft w:val="0"/>
      <w:marRight w:val="0"/>
      <w:marTop w:val="0"/>
      <w:marBottom w:val="0"/>
      <w:divBdr>
        <w:top w:val="none" w:sz="0" w:space="0" w:color="auto"/>
        <w:left w:val="none" w:sz="0" w:space="0" w:color="auto"/>
        <w:bottom w:val="none" w:sz="0" w:space="0" w:color="auto"/>
        <w:right w:val="none" w:sz="0" w:space="0" w:color="auto"/>
      </w:divBdr>
    </w:div>
    <w:div w:id="505167131">
      <w:bodyDiv w:val="1"/>
      <w:marLeft w:val="0"/>
      <w:marRight w:val="0"/>
      <w:marTop w:val="0"/>
      <w:marBottom w:val="0"/>
      <w:divBdr>
        <w:top w:val="none" w:sz="0" w:space="0" w:color="auto"/>
        <w:left w:val="none" w:sz="0" w:space="0" w:color="auto"/>
        <w:bottom w:val="none" w:sz="0" w:space="0" w:color="auto"/>
        <w:right w:val="none" w:sz="0" w:space="0" w:color="auto"/>
      </w:divBdr>
    </w:div>
    <w:div w:id="634026391">
      <w:bodyDiv w:val="1"/>
      <w:marLeft w:val="0"/>
      <w:marRight w:val="0"/>
      <w:marTop w:val="0"/>
      <w:marBottom w:val="0"/>
      <w:divBdr>
        <w:top w:val="none" w:sz="0" w:space="0" w:color="auto"/>
        <w:left w:val="none" w:sz="0" w:space="0" w:color="auto"/>
        <w:bottom w:val="none" w:sz="0" w:space="0" w:color="auto"/>
        <w:right w:val="none" w:sz="0" w:space="0" w:color="auto"/>
      </w:divBdr>
    </w:div>
    <w:div w:id="682324903">
      <w:bodyDiv w:val="1"/>
      <w:marLeft w:val="0"/>
      <w:marRight w:val="0"/>
      <w:marTop w:val="0"/>
      <w:marBottom w:val="0"/>
      <w:divBdr>
        <w:top w:val="none" w:sz="0" w:space="0" w:color="auto"/>
        <w:left w:val="none" w:sz="0" w:space="0" w:color="auto"/>
        <w:bottom w:val="none" w:sz="0" w:space="0" w:color="auto"/>
        <w:right w:val="none" w:sz="0" w:space="0" w:color="auto"/>
      </w:divBdr>
    </w:div>
    <w:div w:id="692192463">
      <w:bodyDiv w:val="1"/>
      <w:marLeft w:val="0"/>
      <w:marRight w:val="0"/>
      <w:marTop w:val="0"/>
      <w:marBottom w:val="0"/>
      <w:divBdr>
        <w:top w:val="none" w:sz="0" w:space="0" w:color="auto"/>
        <w:left w:val="none" w:sz="0" w:space="0" w:color="auto"/>
        <w:bottom w:val="none" w:sz="0" w:space="0" w:color="auto"/>
        <w:right w:val="none" w:sz="0" w:space="0" w:color="auto"/>
      </w:divBdr>
    </w:div>
    <w:div w:id="825130211">
      <w:bodyDiv w:val="1"/>
      <w:marLeft w:val="0"/>
      <w:marRight w:val="0"/>
      <w:marTop w:val="0"/>
      <w:marBottom w:val="0"/>
      <w:divBdr>
        <w:top w:val="none" w:sz="0" w:space="0" w:color="auto"/>
        <w:left w:val="none" w:sz="0" w:space="0" w:color="auto"/>
        <w:bottom w:val="none" w:sz="0" w:space="0" w:color="auto"/>
        <w:right w:val="none" w:sz="0" w:space="0" w:color="auto"/>
      </w:divBdr>
    </w:div>
    <w:div w:id="867135214">
      <w:bodyDiv w:val="1"/>
      <w:marLeft w:val="0"/>
      <w:marRight w:val="0"/>
      <w:marTop w:val="0"/>
      <w:marBottom w:val="0"/>
      <w:divBdr>
        <w:top w:val="none" w:sz="0" w:space="0" w:color="auto"/>
        <w:left w:val="none" w:sz="0" w:space="0" w:color="auto"/>
        <w:bottom w:val="none" w:sz="0" w:space="0" w:color="auto"/>
        <w:right w:val="none" w:sz="0" w:space="0" w:color="auto"/>
      </w:divBdr>
    </w:div>
    <w:div w:id="939683272">
      <w:bodyDiv w:val="1"/>
      <w:marLeft w:val="42"/>
      <w:marRight w:val="42"/>
      <w:marTop w:val="42"/>
      <w:marBottom w:val="10"/>
      <w:divBdr>
        <w:top w:val="none" w:sz="0" w:space="0" w:color="auto"/>
        <w:left w:val="none" w:sz="0" w:space="0" w:color="auto"/>
        <w:bottom w:val="none" w:sz="0" w:space="0" w:color="auto"/>
        <w:right w:val="none" w:sz="0" w:space="0" w:color="auto"/>
      </w:divBdr>
      <w:divsChild>
        <w:div w:id="405108052">
          <w:marLeft w:val="0"/>
          <w:marRight w:val="0"/>
          <w:marTop w:val="0"/>
          <w:marBottom w:val="0"/>
          <w:divBdr>
            <w:top w:val="none" w:sz="0" w:space="0" w:color="auto"/>
            <w:left w:val="none" w:sz="0" w:space="0" w:color="auto"/>
            <w:bottom w:val="none" w:sz="0" w:space="0" w:color="auto"/>
            <w:right w:val="none" w:sz="0" w:space="0" w:color="auto"/>
          </w:divBdr>
          <w:divsChild>
            <w:div w:id="130373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13862">
      <w:bodyDiv w:val="1"/>
      <w:marLeft w:val="42"/>
      <w:marRight w:val="42"/>
      <w:marTop w:val="42"/>
      <w:marBottom w:val="10"/>
      <w:divBdr>
        <w:top w:val="none" w:sz="0" w:space="0" w:color="auto"/>
        <w:left w:val="none" w:sz="0" w:space="0" w:color="auto"/>
        <w:bottom w:val="none" w:sz="0" w:space="0" w:color="auto"/>
        <w:right w:val="none" w:sz="0" w:space="0" w:color="auto"/>
      </w:divBdr>
      <w:divsChild>
        <w:div w:id="1144616102">
          <w:marLeft w:val="0"/>
          <w:marRight w:val="0"/>
          <w:marTop w:val="0"/>
          <w:marBottom w:val="0"/>
          <w:divBdr>
            <w:top w:val="none" w:sz="0" w:space="0" w:color="auto"/>
            <w:left w:val="none" w:sz="0" w:space="0" w:color="auto"/>
            <w:bottom w:val="none" w:sz="0" w:space="0" w:color="auto"/>
            <w:right w:val="none" w:sz="0" w:space="0" w:color="auto"/>
          </w:divBdr>
          <w:divsChild>
            <w:div w:id="214180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063160">
      <w:bodyDiv w:val="1"/>
      <w:marLeft w:val="0"/>
      <w:marRight w:val="0"/>
      <w:marTop w:val="0"/>
      <w:marBottom w:val="0"/>
      <w:divBdr>
        <w:top w:val="none" w:sz="0" w:space="0" w:color="auto"/>
        <w:left w:val="none" w:sz="0" w:space="0" w:color="auto"/>
        <w:bottom w:val="none" w:sz="0" w:space="0" w:color="auto"/>
        <w:right w:val="none" w:sz="0" w:space="0" w:color="auto"/>
      </w:divBdr>
    </w:div>
    <w:div w:id="1012033265">
      <w:bodyDiv w:val="1"/>
      <w:marLeft w:val="0"/>
      <w:marRight w:val="0"/>
      <w:marTop w:val="0"/>
      <w:marBottom w:val="0"/>
      <w:divBdr>
        <w:top w:val="none" w:sz="0" w:space="0" w:color="auto"/>
        <w:left w:val="none" w:sz="0" w:space="0" w:color="auto"/>
        <w:bottom w:val="none" w:sz="0" w:space="0" w:color="auto"/>
        <w:right w:val="none" w:sz="0" w:space="0" w:color="auto"/>
      </w:divBdr>
    </w:div>
    <w:div w:id="1039470432">
      <w:bodyDiv w:val="1"/>
      <w:marLeft w:val="0"/>
      <w:marRight w:val="0"/>
      <w:marTop w:val="0"/>
      <w:marBottom w:val="0"/>
      <w:divBdr>
        <w:top w:val="none" w:sz="0" w:space="0" w:color="auto"/>
        <w:left w:val="none" w:sz="0" w:space="0" w:color="auto"/>
        <w:bottom w:val="none" w:sz="0" w:space="0" w:color="auto"/>
        <w:right w:val="none" w:sz="0" w:space="0" w:color="auto"/>
      </w:divBdr>
    </w:div>
    <w:div w:id="1080327155">
      <w:bodyDiv w:val="1"/>
      <w:marLeft w:val="0"/>
      <w:marRight w:val="0"/>
      <w:marTop w:val="0"/>
      <w:marBottom w:val="0"/>
      <w:divBdr>
        <w:top w:val="none" w:sz="0" w:space="0" w:color="auto"/>
        <w:left w:val="none" w:sz="0" w:space="0" w:color="auto"/>
        <w:bottom w:val="none" w:sz="0" w:space="0" w:color="auto"/>
        <w:right w:val="none" w:sz="0" w:space="0" w:color="auto"/>
      </w:divBdr>
    </w:div>
    <w:div w:id="1104348227">
      <w:bodyDiv w:val="1"/>
      <w:marLeft w:val="0"/>
      <w:marRight w:val="0"/>
      <w:marTop w:val="0"/>
      <w:marBottom w:val="0"/>
      <w:divBdr>
        <w:top w:val="none" w:sz="0" w:space="0" w:color="auto"/>
        <w:left w:val="none" w:sz="0" w:space="0" w:color="auto"/>
        <w:bottom w:val="none" w:sz="0" w:space="0" w:color="auto"/>
        <w:right w:val="none" w:sz="0" w:space="0" w:color="auto"/>
      </w:divBdr>
    </w:div>
    <w:div w:id="1129393989">
      <w:bodyDiv w:val="1"/>
      <w:marLeft w:val="0"/>
      <w:marRight w:val="0"/>
      <w:marTop w:val="0"/>
      <w:marBottom w:val="0"/>
      <w:divBdr>
        <w:top w:val="none" w:sz="0" w:space="0" w:color="auto"/>
        <w:left w:val="none" w:sz="0" w:space="0" w:color="auto"/>
        <w:bottom w:val="none" w:sz="0" w:space="0" w:color="auto"/>
        <w:right w:val="none" w:sz="0" w:space="0" w:color="auto"/>
      </w:divBdr>
    </w:div>
    <w:div w:id="1131745176">
      <w:bodyDiv w:val="1"/>
      <w:marLeft w:val="0"/>
      <w:marRight w:val="0"/>
      <w:marTop w:val="0"/>
      <w:marBottom w:val="0"/>
      <w:divBdr>
        <w:top w:val="none" w:sz="0" w:space="0" w:color="auto"/>
        <w:left w:val="none" w:sz="0" w:space="0" w:color="auto"/>
        <w:bottom w:val="none" w:sz="0" w:space="0" w:color="auto"/>
        <w:right w:val="none" w:sz="0" w:space="0" w:color="auto"/>
      </w:divBdr>
    </w:div>
    <w:div w:id="1145468692">
      <w:bodyDiv w:val="1"/>
      <w:marLeft w:val="0"/>
      <w:marRight w:val="0"/>
      <w:marTop w:val="0"/>
      <w:marBottom w:val="0"/>
      <w:divBdr>
        <w:top w:val="none" w:sz="0" w:space="0" w:color="auto"/>
        <w:left w:val="none" w:sz="0" w:space="0" w:color="auto"/>
        <w:bottom w:val="none" w:sz="0" w:space="0" w:color="auto"/>
        <w:right w:val="none" w:sz="0" w:space="0" w:color="auto"/>
      </w:divBdr>
    </w:div>
    <w:div w:id="1208880139">
      <w:bodyDiv w:val="1"/>
      <w:marLeft w:val="0"/>
      <w:marRight w:val="0"/>
      <w:marTop w:val="0"/>
      <w:marBottom w:val="0"/>
      <w:divBdr>
        <w:top w:val="none" w:sz="0" w:space="0" w:color="auto"/>
        <w:left w:val="none" w:sz="0" w:space="0" w:color="auto"/>
        <w:bottom w:val="none" w:sz="0" w:space="0" w:color="auto"/>
        <w:right w:val="none" w:sz="0" w:space="0" w:color="auto"/>
      </w:divBdr>
    </w:div>
    <w:div w:id="1247496392">
      <w:bodyDiv w:val="1"/>
      <w:marLeft w:val="0"/>
      <w:marRight w:val="0"/>
      <w:marTop w:val="0"/>
      <w:marBottom w:val="0"/>
      <w:divBdr>
        <w:top w:val="none" w:sz="0" w:space="0" w:color="auto"/>
        <w:left w:val="none" w:sz="0" w:space="0" w:color="auto"/>
        <w:bottom w:val="none" w:sz="0" w:space="0" w:color="auto"/>
        <w:right w:val="none" w:sz="0" w:space="0" w:color="auto"/>
      </w:divBdr>
    </w:div>
    <w:div w:id="1294868331">
      <w:bodyDiv w:val="1"/>
      <w:marLeft w:val="0"/>
      <w:marRight w:val="0"/>
      <w:marTop w:val="0"/>
      <w:marBottom w:val="0"/>
      <w:divBdr>
        <w:top w:val="none" w:sz="0" w:space="0" w:color="auto"/>
        <w:left w:val="none" w:sz="0" w:space="0" w:color="auto"/>
        <w:bottom w:val="none" w:sz="0" w:space="0" w:color="auto"/>
        <w:right w:val="none" w:sz="0" w:space="0" w:color="auto"/>
      </w:divBdr>
    </w:div>
    <w:div w:id="1310091505">
      <w:bodyDiv w:val="1"/>
      <w:marLeft w:val="0"/>
      <w:marRight w:val="0"/>
      <w:marTop w:val="0"/>
      <w:marBottom w:val="0"/>
      <w:divBdr>
        <w:top w:val="none" w:sz="0" w:space="0" w:color="auto"/>
        <w:left w:val="none" w:sz="0" w:space="0" w:color="auto"/>
        <w:bottom w:val="none" w:sz="0" w:space="0" w:color="auto"/>
        <w:right w:val="none" w:sz="0" w:space="0" w:color="auto"/>
      </w:divBdr>
    </w:div>
    <w:div w:id="1324166037">
      <w:bodyDiv w:val="1"/>
      <w:marLeft w:val="0"/>
      <w:marRight w:val="0"/>
      <w:marTop w:val="0"/>
      <w:marBottom w:val="0"/>
      <w:divBdr>
        <w:top w:val="none" w:sz="0" w:space="0" w:color="auto"/>
        <w:left w:val="none" w:sz="0" w:space="0" w:color="auto"/>
        <w:bottom w:val="none" w:sz="0" w:space="0" w:color="auto"/>
        <w:right w:val="none" w:sz="0" w:space="0" w:color="auto"/>
      </w:divBdr>
    </w:div>
    <w:div w:id="1355762430">
      <w:bodyDiv w:val="1"/>
      <w:marLeft w:val="0"/>
      <w:marRight w:val="0"/>
      <w:marTop w:val="0"/>
      <w:marBottom w:val="0"/>
      <w:divBdr>
        <w:top w:val="none" w:sz="0" w:space="0" w:color="auto"/>
        <w:left w:val="none" w:sz="0" w:space="0" w:color="auto"/>
        <w:bottom w:val="none" w:sz="0" w:space="0" w:color="auto"/>
        <w:right w:val="none" w:sz="0" w:space="0" w:color="auto"/>
      </w:divBdr>
    </w:div>
    <w:div w:id="1380593929">
      <w:bodyDiv w:val="1"/>
      <w:marLeft w:val="0"/>
      <w:marRight w:val="0"/>
      <w:marTop w:val="0"/>
      <w:marBottom w:val="0"/>
      <w:divBdr>
        <w:top w:val="none" w:sz="0" w:space="0" w:color="auto"/>
        <w:left w:val="none" w:sz="0" w:space="0" w:color="auto"/>
        <w:bottom w:val="none" w:sz="0" w:space="0" w:color="auto"/>
        <w:right w:val="none" w:sz="0" w:space="0" w:color="auto"/>
      </w:divBdr>
    </w:div>
    <w:div w:id="1558079867">
      <w:bodyDiv w:val="1"/>
      <w:marLeft w:val="0"/>
      <w:marRight w:val="0"/>
      <w:marTop w:val="0"/>
      <w:marBottom w:val="0"/>
      <w:divBdr>
        <w:top w:val="none" w:sz="0" w:space="0" w:color="auto"/>
        <w:left w:val="none" w:sz="0" w:space="0" w:color="auto"/>
        <w:bottom w:val="none" w:sz="0" w:space="0" w:color="auto"/>
        <w:right w:val="none" w:sz="0" w:space="0" w:color="auto"/>
      </w:divBdr>
    </w:div>
    <w:div w:id="1629894034">
      <w:bodyDiv w:val="1"/>
      <w:marLeft w:val="0"/>
      <w:marRight w:val="0"/>
      <w:marTop w:val="0"/>
      <w:marBottom w:val="0"/>
      <w:divBdr>
        <w:top w:val="none" w:sz="0" w:space="0" w:color="auto"/>
        <w:left w:val="none" w:sz="0" w:space="0" w:color="auto"/>
        <w:bottom w:val="none" w:sz="0" w:space="0" w:color="auto"/>
        <w:right w:val="none" w:sz="0" w:space="0" w:color="auto"/>
      </w:divBdr>
    </w:div>
    <w:div w:id="1751073268">
      <w:bodyDiv w:val="1"/>
      <w:marLeft w:val="0"/>
      <w:marRight w:val="0"/>
      <w:marTop w:val="0"/>
      <w:marBottom w:val="0"/>
      <w:divBdr>
        <w:top w:val="none" w:sz="0" w:space="0" w:color="auto"/>
        <w:left w:val="none" w:sz="0" w:space="0" w:color="auto"/>
        <w:bottom w:val="none" w:sz="0" w:space="0" w:color="auto"/>
        <w:right w:val="none" w:sz="0" w:space="0" w:color="auto"/>
      </w:divBdr>
    </w:div>
    <w:div w:id="1789273462">
      <w:bodyDiv w:val="1"/>
      <w:marLeft w:val="0"/>
      <w:marRight w:val="0"/>
      <w:marTop w:val="0"/>
      <w:marBottom w:val="0"/>
      <w:divBdr>
        <w:top w:val="none" w:sz="0" w:space="0" w:color="auto"/>
        <w:left w:val="none" w:sz="0" w:space="0" w:color="auto"/>
        <w:bottom w:val="none" w:sz="0" w:space="0" w:color="auto"/>
        <w:right w:val="none" w:sz="0" w:space="0" w:color="auto"/>
      </w:divBdr>
    </w:div>
    <w:div w:id="1791507290">
      <w:bodyDiv w:val="1"/>
      <w:marLeft w:val="0"/>
      <w:marRight w:val="0"/>
      <w:marTop w:val="0"/>
      <w:marBottom w:val="0"/>
      <w:divBdr>
        <w:top w:val="none" w:sz="0" w:space="0" w:color="auto"/>
        <w:left w:val="none" w:sz="0" w:space="0" w:color="auto"/>
        <w:bottom w:val="none" w:sz="0" w:space="0" w:color="auto"/>
        <w:right w:val="none" w:sz="0" w:space="0" w:color="auto"/>
      </w:divBdr>
    </w:div>
    <w:div w:id="1850218264">
      <w:bodyDiv w:val="1"/>
      <w:marLeft w:val="0"/>
      <w:marRight w:val="0"/>
      <w:marTop w:val="0"/>
      <w:marBottom w:val="0"/>
      <w:divBdr>
        <w:top w:val="none" w:sz="0" w:space="0" w:color="auto"/>
        <w:left w:val="none" w:sz="0" w:space="0" w:color="auto"/>
        <w:bottom w:val="none" w:sz="0" w:space="0" w:color="auto"/>
        <w:right w:val="none" w:sz="0" w:space="0" w:color="auto"/>
      </w:divBdr>
    </w:div>
    <w:div w:id="1890531371">
      <w:bodyDiv w:val="1"/>
      <w:marLeft w:val="0"/>
      <w:marRight w:val="0"/>
      <w:marTop w:val="0"/>
      <w:marBottom w:val="0"/>
      <w:divBdr>
        <w:top w:val="none" w:sz="0" w:space="0" w:color="auto"/>
        <w:left w:val="none" w:sz="0" w:space="0" w:color="auto"/>
        <w:bottom w:val="none" w:sz="0" w:space="0" w:color="auto"/>
        <w:right w:val="none" w:sz="0" w:space="0" w:color="auto"/>
      </w:divBdr>
    </w:div>
    <w:div w:id="1950576239">
      <w:bodyDiv w:val="1"/>
      <w:marLeft w:val="0"/>
      <w:marRight w:val="0"/>
      <w:marTop w:val="0"/>
      <w:marBottom w:val="0"/>
      <w:divBdr>
        <w:top w:val="none" w:sz="0" w:space="0" w:color="auto"/>
        <w:left w:val="none" w:sz="0" w:space="0" w:color="auto"/>
        <w:bottom w:val="none" w:sz="0" w:space="0" w:color="auto"/>
        <w:right w:val="none" w:sz="0" w:space="0" w:color="auto"/>
      </w:divBdr>
    </w:div>
    <w:div w:id="207612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0FB984FD105F48A4740E218EB154DA" ma:contentTypeVersion="8" ma:contentTypeDescription="Create a new document." ma:contentTypeScope="" ma:versionID="dafc42af60a0a313631d040650741d61">
  <xsd:schema xmlns:xsd="http://www.w3.org/2001/XMLSchema" xmlns:xs="http://www.w3.org/2001/XMLSchema" xmlns:p="http://schemas.microsoft.com/office/2006/metadata/properties" xmlns:ns2="f7f0dda0-91d8-4164-9810-c186d6c120cc" targetNamespace="http://schemas.microsoft.com/office/2006/metadata/properties" ma:root="true" ma:fieldsID="81ea16e14b236bb949cf06a036d52cc1" ns2:_="">
    <xsd:import namespace="f7f0dda0-91d8-4164-9810-c186d6c12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f0dda0-91d8-4164-9810-c186d6c120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B81EE9-43B6-4C49-B4C5-61B9251B87F1}">
  <ds:schemaRefs>
    <ds:schemaRef ds:uri="http://schemas.openxmlformats.org/officeDocument/2006/bibliography"/>
  </ds:schemaRefs>
</ds:datastoreItem>
</file>

<file path=customXml/itemProps2.xml><?xml version="1.0" encoding="utf-8"?>
<ds:datastoreItem xmlns:ds="http://schemas.openxmlformats.org/officeDocument/2006/customXml" ds:itemID="{4CF21A6E-9089-478B-AB14-A2CE2109DF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C1ED84-C024-4AED-A697-6C84EDB18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f0dda0-91d8-4164-9810-c186d6c12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365782-CA0F-4FE3-A59C-148A2D1343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6177</Words>
  <Characters>33220</Characters>
  <Application>Microsoft Office Word</Application>
  <DocSecurity>0</DocSecurity>
  <Lines>276</Lines>
  <Paragraphs>78</Paragraphs>
  <ScaleCrop>false</ScaleCrop>
  <Company>MCDA</Company>
  <LinksUpToDate>false</LinksUpToDate>
  <CharactersWithSpaces>39319</CharactersWithSpaces>
  <SharedDoc>false</SharedDoc>
  <HLinks>
    <vt:vector size="108" baseType="variant">
      <vt:variant>
        <vt:i4>1703999</vt:i4>
      </vt:variant>
      <vt:variant>
        <vt:i4>53</vt:i4>
      </vt:variant>
      <vt:variant>
        <vt:i4>0</vt:i4>
      </vt:variant>
      <vt:variant>
        <vt:i4>5</vt:i4>
      </vt:variant>
      <vt:variant>
        <vt:lpwstr/>
      </vt:variant>
      <vt:variant>
        <vt:lpwstr>_Toc517944916</vt:lpwstr>
      </vt:variant>
      <vt:variant>
        <vt:i4>1703999</vt:i4>
      </vt:variant>
      <vt:variant>
        <vt:i4>50</vt:i4>
      </vt:variant>
      <vt:variant>
        <vt:i4>0</vt:i4>
      </vt:variant>
      <vt:variant>
        <vt:i4>5</vt:i4>
      </vt:variant>
      <vt:variant>
        <vt:lpwstr/>
      </vt:variant>
      <vt:variant>
        <vt:lpwstr>_Toc517944915</vt:lpwstr>
      </vt:variant>
      <vt:variant>
        <vt:i4>1703999</vt:i4>
      </vt:variant>
      <vt:variant>
        <vt:i4>47</vt:i4>
      </vt:variant>
      <vt:variant>
        <vt:i4>0</vt:i4>
      </vt:variant>
      <vt:variant>
        <vt:i4>5</vt:i4>
      </vt:variant>
      <vt:variant>
        <vt:lpwstr/>
      </vt:variant>
      <vt:variant>
        <vt:lpwstr>_Toc517944914</vt:lpwstr>
      </vt:variant>
      <vt:variant>
        <vt:i4>1703999</vt:i4>
      </vt:variant>
      <vt:variant>
        <vt:i4>44</vt:i4>
      </vt:variant>
      <vt:variant>
        <vt:i4>0</vt:i4>
      </vt:variant>
      <vt:variant>
        <vt:i4>5</vt:i4>
      </vt:variant>
      <vt:variant>
        <vt:lpwstr/>
      </vt:variant>
      <vt:variant>
        <vt:lpwstr>_Toc517944912</vt:lpwstr>
      </vt:variant>
      <vt:variant>
        <vt:i4>1769535</vt:i4>
      </vt:variant>
      <vt:variant>
        <vt:i4>41</vt:i4>
      </vt:variant>
      <vt:variant>
        <vt:i4>0</vt:i4>
      </vt:variant>
      <vt:variant>
        <vt:i4>5</vt:i4>
      </vt:variant>
      <vt:variant>
        <vt:lpwstr/>
      </vt:variant>
      <vt:variant>
        <vt:lpwstr>_Toc517944909</vt:lpwstr>
      </vt:variant>
      <vt:variant>
        <vt:i4>1769535</vt:i4>
      </vt:variant>
      <vt:variant>
        <vt:i4>38</vt:i4>
      </vt:variant>
      <vt:variant>
        <vt:i4>0</vt:i4>
      </vt:variant>
      <vt:variant>
        <vt:i4>5</vt:i4>
      </vt:variant>
      <vt:variant>
        <vt:lpwstr/>
      </vt:variant>
      <vt:variant>
        <vt:lpwstr>_Toc517944907</vt:lpwstr>
      </vt:variant>
      <vt:variant>
        <vt:i4>1769535</vt:i4>
      </vt:variant>
      <vt:variant>
        <vt:i4>35</vt:i4>
      </vt:variant>
      <vt:variant>
        <vt:i4>0</vt:i4>
      </vt:variant>
      <vt:variant>
        <vt:i4>5</vt:i4>
      </vt:variant>
      <vt:variant>
        <vt:lpwstr/>
      </vt:variant>
      <vt:variant>
        <vt:lpwstr>_Toc517944906</vt:lpwstr>
      </vt:variant>
      <vt:variant>
        <vt:i4>1769535</vt:i4>
      </vt:variant>
      <vt:variant>
        <vt:i4>32</vt:i4>
      </vt:variant>
      <vt:variant>
        <vt:i4>0</vt:i4>
      </vt:variant>
      <vt:variant>
        <vt:i4>5</vt:i4>
      </vt:variant>
      <vt:variant>
        <vt:lpwstr/>
      </vt:variant>
      <vt:variant>
        <vt:lpwstr>_Toc517944905</vt:lpwstr>
      </vt:variant>
      <vt:variant>
        <vt:i4>1769535</vt:i4>
      </vt:variant>
      <vt:variant>
        <vt:i4>29</vt:i4>
      </vt:variant>
      <vt:variant>
        <vt:i4>0</vt:i4>
      </vt:variant>
      <vt:variant>
        <vt:i4>5</vt:i4>
      </vt:variant>
      <vt:variant>
        <vt:lpwstr/>
      </vt:variant>
      <vt:variant>
        <vt:lpwstr>_Toc517944904</vt:lpwstr>
      </vt:variant>
      <vt:variant>
        <vt:i4>1769535</vt:i4>
      </vt:variant>
      <vt:variant>
        <vt:i4>26</vt:i4>
      </vt:variant>
      <vt:variant>
        <vt:i4>0</vt:i4>
      </vt:variant>
      <vt:variant>
        <vt:i4>5</vt:i4>
      </vt:variant>
      <vt:variant>
        <vt:lpwstr/>
      </vt:variant>
      <vt:variant>
        <vt:lpwstr>_Toc517944903</vt:lpwstr>
      </vt:variant>
      <vt:variant>
        <vt:i4>1769535</vt:i4>
      </vt:variant>
      <vt:variant>
        <vt:i4>23</vt:i4>
      </vt:variant>
      <vt:variant>
        <vt:i4>0</vt:i4>
      </vt:variant>
      <vt:variant>
        <vt:i4>5</vt:i4>
      </vt:variant>
      <vt:variant>
        <vt:lpwstr/>
      </vt:variant>
      <vt:variant>
        <vt:lpwstr>_Toc517944902</vt:lpwstr>
      </vt:variant>
      <vt:variant>
        <vt:i4>1769535</vt:i4>
      </vt:variant>
      <vt:variant>
        <vt:i4>20</vt:i4>
      </vt:variant>
      <vt:variant>
        <vt:i4>0</vt:i4>
      </vt:variant>
      <vt:variant>
        <vt:i4>5</vt:i4>
      </vt:variant>
      <vt:variant>
        <vt:lpwstr/>
      </vt:variant>
      <vt:variant>
        <vt:lpwstr>_Toc517944901</vt:lpwstr>
      </vt:variant>
      <vt:variant>
        <vt:i4>1769535</vt:i4>
      </vt:variant>
      <vt:variant>
        <vt:i4>17</vt:i4>
      </vt:variant>
      <vt:variant>
        <vt:i4>0</vt:i4>
      </vt:variant>
      <vt:variant>
        <vt:i4>5</vt:i4>
      </vt:variant>
      <vt:variant>
        <vt:lpwstr/>
      </vt:variant>
      <vt:variant>
        <vt:lpwstr>_Toc517944900</vt:lpwstr>
      </vt:variant>
      <vt:variant>
        <vt:i4>1179710</vt:i4>
      </vt:variant>
      <vt:variant>
        <vt:i4>14</vt:i4>
      </vt:variant>
      <vt:variant>
        <vt:i4>0</vt:i4>
      </vt:variant>
      <vt:variant>
        <vt:i4>5</vt:i4>
      </vt:variant>
      <vt:variant>
        <vt:lpwstr/>
      </vt:variant>
      <vt:variant>
        <vt:lpwstr>_Toc517944898</vt:lpwstr>
      </vt:variant>
      <vt:variant>
        <vt:i4>1179710</vt:i4>
      </vt:variant>
      <vt:variant>
        <vt:i4>11</vt:i4>
      </vt:variant>
      <vt:variant>
        <vt:i4>0</vt:i4>
      </vt:variant>
      <vt:variant>
        <vt:i4>5</vt:i4>
      </vt:variant>
      <vt:variant>
        <vt:lpwstr/>
      </vt:variant>
      <vt:variant>
        <vt:lpwstr>_Toc517944896</vt:lpwstr>
      </vt:variant>
      <vt:variant>
        <vt:i4>1179710</vt:i4>
      </vt:variant>
      <vt:variant>
        <vt:i4>8</vt:i4>
      </vt:variant>
      <vt:variant>
        <vt:i4>0</vt:i4>
      </vt:variant>
      <vt:variant>
        <vt:i4>5</vt:i4>
      </vt:variant>
      <vt:variant>
        <vt:lpwstr/>
      </vt:variant>
      <vt:variant>
        <vt:lpwstr>_Toc517944895</vt:lpwstr>
      </vt:variant>
      <vt:variant>
        <vt:i4>1179710</vt:i4>
      </vt:variant>
      <vt:variant>
        <vt:i4>5</vt:i4>
      </vt:variant>
      <vt:variant>
        <vt:i4>0</vt:i4>
      </vt:variant>
      <vt:variant>
        <vt:i4>5</vt:i4>
      </vt:variant>
      <vt:variant>
        <vt:lpwstr/>
      </vt:variant>
      <vt:variant>
        <vt:lpwstr>_Toc517944893</vt:lpwstr>
      </vt:variant>
      <vt:variant>
        <vt:i4>1179710</vt:i4>
      </vt:variant>
      <vt:variant>
        <vt:i4>2</vt:i4>
      </vt:variant>
      <vt:variant>
        <vt:i4>0</vt:i4>
      </vt:variant>
      <vt:variant>
        <vt:i4>5</vt:i4>
      </vt:variant>
      <vt:variant>
        <vt:lpwstr/>
      </vt:variant>
      <vt:variant>
        <vt:lpwstr>_Toc517944891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“A”</dc:title>
  <dc:subject/>
  <dc:creator>SCHACYM0</dc:creator>
  <cp:keywords/>
  <cp:lastModifiedBy>Vicki Lee</cp:lastModifiedBy>
  <cp:revision>23</cp:revision>
  <cp:lastPrinted>2021-06-15T03:32:00Z</cp:lastPrinted>
  <dcterms:created xsi:type="dcterms:W3CDTF">2023-06-06T03:58:00Z</dcterms:created>
  <dcterms:modified xsi:type="dcterms:W3CDTF">2026-01-14T20:08:00Z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0x010100320FB984FD105F48A4740E218EB154DA</vt:lpwstr>
  </property>
  <property fmtid="{D5CDD505-2E9C-101B-9397-08002B2CF9AE}" pid="3" name="Order">
    <vt:r8>100</vt:r8>
  </property>
  <property fmtid="{D5CDD505-2E9C-101B-9397-08002B2CF9AE}" pid="4" name="MediaServiceImageTags">
    <vt:lpwstr/>
  </property>
</Properties>
</file>