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7663" w14:textId="77777777" w:rsidR="00D54979" w:rsidRPr="00C74980" w:rsidRDefault="00D54979" w:rsidP="00D54979">
      <w:pPr>
        <w:tabs>
          <w:tab w:val="left" w:pos="760"/>
        </w:tabs>
        <w:rPr>
          <w:rFonts w:ascii="Tms Rmn 11pt" w:hAnsi="Tms Rmn 11pt"/>
          <w:color w:val="131D47"/>
          <w:sz w:val="22"/>
          <w:szCs w:val="22"/>
        </w:rPr>
        <w:sectPr w:rsidR="00D54979" w:rsidRPr="00C74980" w:rsidSect="007C4B33">
          <w:headerReference w:type="default" r:id="rId11"/>
          <w:footerReference w:type="default" r:id="rId12"/>
          <w:type w:val="continuous"/>
          <w:pgSz w:w="12240" w:h="15840"/>
          <w:pgMar w:top="857" w:right="720" w:bottom="720" w:left="720" w:header="720" w:footer="288" w:gutter="0"/>
          <w:cols w:space="720"/>
          <w:docGrid w:linePitch="326"/>
        </w:sectPr>
      </w:pPr>
    </w:p>
    <w:p w14:paraId="1FD2AC3A" w14:textId="77777777" w:rsidR="003851DF" w:rsidRPr="00C74980" w:rsidRDefault="009D38DB" w:rsidP="00735DFB">
      <w:pPr>
        <w:pStyle w:val="BasicParagraph"/>
        <w:spacing w:line="240" w:lineRule="auto"/>
        <w:rPr>
          <w:rFonts w:ascii="Open Sans" w:hAnsi="Open Sans" w:cs="Open Sans"/>
          <w:b/>
          <w:bCs/>
          <w:color w:val="131D47"/>
          <w:sz w:val="20"/>
          <w:szCs w:val="20"/>
        </w:rPr>
      </w:pPr>
      <w:r>
        <w:rPr>
          <w:rFonts w:ascii="Open Sans" w:hAnsi="Open Sans" w:cs="Open Sans"/>
          <w:b/>
          <w:bCs/>
          <w:color w:val="131D47"/>
          <w:sz w:val="20"/>
          <w:szCs w:val="20"/>
        </w:rPr>
        <w:t xml:space="preserve"> </w:t>
      </w:r>
    </w:p>
    <w:p w14:paraId="798FE705" w14:textId="1653FA7E" w:rsidR="004639EC" w:rsidRPr="004639EC" w:rsidRDefault="004639EC" w:rsidP="004639EC">
      <w:pPr>
        <w:pStyle w:val="BasicParagraph"/>
        <w:jc w:val="center"/>
        <w:rPr>
          <w:rFonts w:ascii="Open Sans" w:hAnsi="Open Sans" w:cs="Open Sans"/>
          <w:b/>
          <w:bCs/>
          <w:color w:val="auto"/>
          <w:sz w:val="20"/>
          <w:szCs w:val="20"/>
        </w:rPr>
      </w:pPr>
      <w:r w:rsidRPr="004639EC">
        <w:rPr>
          <w:rFonts w:ascii="Open Sans" w:hAnsi="Open Sans" w:cs="Open Sans"/>
          <w:b/>
          <w:bCs/>
          <w:color w:val="auto"/>
          <w:sz w:val="20"/>
          <w:szCs w:val="20"/>
        </w:rPr>
        <w:t>HOUSING PROGRAMS AND FUNDING SOURCES</w:t>
      </w:r>
    </w:p>
    <w:p w14:paraId="39D7B5FA" w14:textId="77777777" w:rsidR="004639EC" w:rsidRDefault="004639EC" w:rsidP="004639EC">
      <w:pPr>
        <w:pStyle w:val="BasicParagraph"/>
        <w:rPr>
          <w:rFonts w:ascii="Open Sans" w:hAnsi="Open Sans" w:cs="Open Sans"/>
          <w:color w:val="auto"/>
          <w:sz w:val="20"/>
          <w:szCs w:val="20"/>
        </w:rPr>
      </w:pPr>
    </w:p>
    <w:p w14:paraId="209E913F" w14:textId="74429840"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City of Saint Paul HRA Financing Tools</w:t>
      </w:r>
    </w:p>
    <w:p w14:paraId="2A795000" w14:textId="77777777" w:rsidR="004639EC" w:rsidRDefault="004639EC" w:rsidP="004639EC">
      <w:pPr>
        <w:pStyle w:val="BasicParagraph"/>
        <w:rPr>
          <w:rFonts w:ascii="Open Sans" w:hAnsi="Open Sans" w:cs="Open Sans"/>
          <w:color w:val="auto"/>
          <w:sz w:val="20"/>
          <w:szCs w:val="20"/>
        </w:rPr>
      </w:pPr>
    </w:p>
    <w:p w14:paraId="7E36DD0C" w14:textId="7CEF9D03" w:rsid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 xml:space="preserve">The Housing and Redevelopment Authority of the City of Saint Paul (HRA) </w:t>
      </w:r>
      <w:r w:rsidR="00520FF4">
        <w:rPr>
          <w:rFonts w:ascii="Open Sans" w:hAnsi="Open Sans" w:cs="Open Sans"/>
          <w:color w:val="auto"/>
          <w:sz w:val="20"/>
          <w:szCs w:val="20"/>
        </w:rPr>
        <w:t xml:space="preserve">and the City of Saint Paul </w:t>
      </w:r>
      <w:r w:rsidRPr="004639EC">
        <w:rPr>
          <w:rFonts w:ascii="Open Sans" w:hAnsi="Open Sans" w:cs="Open Sans"/>
          <w:color w:val="auto"/>
          <w:sz w:val="20"/>
          <w:szCs w:val="20"/>
        </w:rPr>
        <w:t xml:space="preserve">provides various </w:t>
      </w:r>
      <w:r w:rsidR="00603812">
        <w:rPr>
          <w:rFonts w:ascii="Open Sans" w:hAnsi="Open Sans" w:cs="Open Sans"/>
          <w:color w:val="auto"/>
          <w:sz w:val="20"/>
          <w:szCs w:val="20"/>
        </w:rPr>
        <w:t xml:space="preserve">gap </w:t>
      </w:r>
      <w:r w:rsidRPr="004639EC">
        <w:rPr>
          <w:rFonts w:ascii="Open Sans" w:hAnsi="Open Sans" w:cs="Open Sans"/>
          <w:color w:val="auto"/>
          <w:sz w:val="20"/>
          <w:szCs w:val="20"/>
        </w:rPr>
        <w:t>financing opportunities for housing development and preservation. The process for applying depends on the financing source(s).</w:t>
      </w:r>
    </w:p>
    <w:p w14:paraId="6C2A9F25" w14:textId="77777777" w:rsidR="004639EC" w:rsidRPr="004639EC" w:rsidRDefault="004639EC" w:rsidP="004639EC">
      <w:pPr>
        <w:pStyle w:val="BasicParagraph"/>
        <w:rPr>
          <w:rFonts w:ascii="Open Sans" w:hAnsi="Open Sans" w:cs="Open Sans"/>
          <w:color w:val="auto"/>
          <w:sz w:val="20"/>
          <w:szCs w:val="20"/>
        </w:rPr>
      </w:pPr>
    </w:p>
    <w:p w14:paraId="19CB1A49" w14:textId="49EEF417" w:rsidR="004639EC" w:rsidRPr="004639EC" w:rsidRDefault="004639EC" w:rsidP="004639EC">
      <w:pPr>
        <w:pStyle w:val="BasicParagraph"/>
        <w:numPr>
          <w:ilvl w:val="0"/>
          <w:numId w:val="1"/>
        </w:numPr>
        <w:rPr>
          <w:rFonts w:ascii="Open Sans" w:hAnsi="Open Sans" w:cs="Open Sans"/>
          <w:b/>
          <w:bCs/>
          <w:color w:val="auto"/>
          <w:sz w:val="20"/>
          <w:szCs w:val="20"/>
        </w:rPr>
      </w:pPr>
      <w:r w:rsidRPr="004639EC">
        <w:rPr>
          <w:rFonts w:ascii="Open Sans" w:hAnsi="Open Sans" w:cs="Open Sans"/>
          <w:b/>
          <w:bCs/>
          <w:color w:val="auto"/>
          <w:sz w:val="20"/>
          <w:szCs w:val="20"/>
        </w:rPr>
        <w:t>HOUSING TAX CREDITS</w:t>
      </w:r>
    </w:p>
    <w:p w14:paraId="1FBC1EFD" w14:textId="77777777"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Overview</w:t>
      </w:r>
    </w:p>
    <w:p w14:paraId="328F990A" w14:textId="77777777" w:rsidR="004639EC" w:rsidRDefault="004639EC" w:rsidP="004639EC">
      <w:pPr>
        <w:pStyle w:val="BasicParagraph"/>
        <w:rPr>
          <w:rFonts w:ascii="Open Sans" w:hAnsi="Open Sans" w:cs="Open Sans"/>
          <w:color w:val="auto"/>
          <w:sz w:val="20"/>
          <w:szCs w:val="20"/>
        </w:rPr>
      </w:pPr>
    </w:p>
    <w:p w14:paraId="0EFD99CB" w14:textId="3A282E93" w:rsid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The Federal Tax Reform Act of 1986 created Low-Income Housing Tax Credits for qualified residential properties to encourage the production of affordable low-income rental housing. The program offers a reduction in the tax liability to owners and investors of qualified affordable rental housing projects relating to the acquisition, construction, or rehabilitation of low-income rental housing units.</w:t>
      </w:r>
    </w:p>
    <w:p w14:paraId="6A36155B" w14:textId="77777777" w:rsidR="004639EC" w:rsidRPr="004639EC" w:rsidRDefault="004639EC" w:rsidP="004639EC">
      <w:pPr>
        <w:pStyle w:val="BasicParagraph"/>
        <w:rPr>
          <w:rFonts w:ascii="Open Sans" w:hAnsi="Open Sans" w:cs="Open Sans"/>
          <w:color w:val="auto"/>
          <w:sz w:val="20"/>
          <w:szCs w:val="20"/>
        </w:rPr>
      </w:pPr>
    </w:p>
    <w:p w14:paraId="3201B7F8" w14:textId="77777777" w:rsidR="004639EC" w:rsidRP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The HRA, through its role in the Minneapolis/Saint Paul Housing Finance Board, is a Suballocator of 9% and 4% Housing Tax Credits (HTCs).</w:t>
      </w:r>
    </w:p>
    <w:p w14:paraId="62FF2641" w14:textId="77777777" w:rsidR="004639EC" w:rsidRDefault="004639EC" w:rsidP="004639EC">
      <w:pPr>
        <w:pStyle w:val="BasicParagraph"/>
        <w:rPr>
          <w:rFonts w:ascii="Open Sans" w:hAnsi="Open Sans" w:cs="Open Sans"/>
          <w:color w:val="auto"/>
          <w:sz w:val="20"/>
          <w:szCs w:val="20"/>
        </w:rPr>
      </w:pPr>
    </w:p>
    <w:p w14:paraId="06FB79EB" w14:textId="37DE3760"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How to apply</w:t>
      </w:r>
    </w:p>
    <w:p w14:paraId="7880D128" w14:textId="2B67AADD" w:rsidR="004639EC" w:rsidRDefault="004639EC" w:rsidP="004639EC">
      <w:pPr>
        <w:pStyle w:val="BasicParagraph"/>
        <w:rPr>
          <w:rFonts w:ascii="Open Sans" w:hAnsi="Open Sans" w:cs="Open Sans"/>
          <w:color w:val="auto"/>
          <w:sz w:val="20"/>
          <w:szCs w:val="20"/>
        </w:rPr>
      </w:pPr>
      <w:r w:rsidRPr="0B83488B">
        <w:rPr>
          <w:rFonts w:ascii="Open Sans" w:hAnsi="Open Sans" w:cs="Open Sans"/>
          <w:color w:val="auto"/>
          <w:sz w:val="20"/>
          <w:szCs w:val="20"/>
        </w:rPr>
        <w:t>The HRA solicits applications for 9% HTCs through an annual Notice of Funding Availability. Click here for more information</w:t>
      </w:r>
      <w:r w:rsidR="18CB3B31" w:rsidRPr="0B83488B">
        <w:rPr>
          <w:rFonts w:ascii="Open Sans" w:hAnsi="Open Sans" w:cs="Open Sans"/>
          <w:color w:val="auto"/>
          <w:sz w:val="20"/>
          <w:szCs w:val="20"/>
        </w:rPr>
        <w:t xml:space="preserve"> on our HTC priorities and requirements</w:t>
      </w:r>
      <w:r w:rsidRPr="0B83488B">
        <w:rPr>
          <w:rFonts w:ascii="Open Sans" w:hAnsi="Open Sans" w:cs="Open Sans"/>
          <w:color w:val="auto"/>
          <w:sz w:val="20"/>
          <w:szCs w:val="20"/>
        </w:rPr>
        <w:t xml:space="preserve">: </w:t>
      </w:r>
      <w:hyperlink r:id="rId13">
        <w:r w:rsidRPr="0B83488B">
          <w:rPr>
            <w:rStyle w:val="Hyperlink"/>
            <w:rFonts w:ascii="Open Sans" w:hAnsi="Open Sans" w:cs="Open Sans"/>
            <w:sz w:val="20"/>
            <w:szCs w:val="20"/>
          </w:rPr>
          <w:t>Low-Income Housing Tax Credits | Saint Paul Minnesota (stpaul.gov)</w:t>
        </w:r>
      </w:hyperlink>
    </w:p>
    <w:p w14:paraId="42CC0608" w14:textId="77777777" w:rsidR="004639EC" w:rsidRPr="004639EC" w:rsidRDefault="004639EC" w:rsidP="004639EC">
      <w:pPr>
        <w:pStyle w:val="BasicParagraph"/>
        <w:rPr>
          <w:rFonts w:ascii="Open Sans" w:hAnsi="Open Sans" w:cs="Open Sans"/>
          <w:color w:val="auto"/>
          <w:sz w:val="20"/>
          <w:szCs w:val="20"/>
        </w:rPr>
      </w:pPr>
    </w:p>
    <w:p w14:paraId="00E4F2DB" w14:textId="6C4D75FA" w:rsidR="004639EC" w:rsidRP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The HRA allocates 4% HTCs in conjunction with an issuance of Housing Revenue Bonds</w:t>
      </w:r>
      <w:r w:rsidR="002A1653">
        <w:rPr>
          <w:rFonts w:ascii="Open Sans" w:hAnsi="Open Sans" w:cs="Open Sans"/>
          <w:color w:val="auto"/>
          <w:sz w:val="20"/>
          <w:szCs w:val="20"/>
        </w:rPr>
        <w:t xml:space="preserve"> (see Tax-Exempt Bonds)</w:t>
      </w:r>
      <w:r w:rsidRPr="004639EC">
        <w:rPr>
          <w:rFonts w:ascii="Open Sans" w:hAnsi="Open Sans" w:cs="Open Sans"/>
          <w:color w:val="auto"/>
          <w:sz w:val="20"/>
          <w:szCs w:val="20"/>
        </w:rPr>
        <w:t>.</w:t>
      </w:r>
    </w:p>
    <w:p w14:paraId="5F66415A" w14:textId="77777777" w:rsidR="004639EC" w:rsidRDefault="004639EC" w:rsidP="004639EC">
      <w:pPr>
        <w:pStyle w:val="BasicParagraph"/>
        <w:rPr>
          <w:rFonts w:ascii="Open Sans" w:hAnsi="Open Sans" w:cs="Open Sans"/>
          <w:color w:val="auto"/>
          <w:sz w:val="20"/>
          <w:szCs w:val="20"/>
        </w:rPr>
      </w:pPr>
    </w:p>
    <w:p w14:paraId="6A4570D5" w14:textId="61209E44" w:rsidR="004639EC" w:rsidRPr="004639EC" w:rsidRDefault="004639EC" w:rsidP="004639EC">
      <w:pPr>
        <w:pStyle w:val="BasicParagraph"/>
        <w:ind w:left="1170" w:hanging="810"/>
        <w:rPr>
          <w:rFonts w:ascii="Open Sans" w:hAnsi="Open Sans" w:cs="Open Sans"/>
          <w:b/>
          <w:bCs/>
          <w:color w:val="auto"/>
          <w:sz w:val="20"/>
          <w:szCs w:val="20"/>
        </w:rPr>
      </w:pPr>
      <w:r w:rsidRPr="004639EC">
        <w:rPr>
          <w:rFonts w:ascii="Open Sans" w:hAnsi="Open Sans" w:cs="Open Sans"/>
          <w:b/>
          <w:bCs/>
          <w:color w:val="auto"/>
          <w:sz w:val="20"/>
          <w:szCs w:val="20"/>
        </w:rPr>
        <w:t xml:space="preserve">II. </w:t>
      </w:r>
      <w:r>
        <w:rPr>
          <w:rFonts w:ascii="Open Sans" w:hAnsi="Open Sans" w:cs="Open Sans"/>
          <w:b/>
          <w:bCs/>
          <w:color w:val="auto"/>
          <w:sz w:val="20"/>
          <w:szCs w:val="20"/>
        </w:rPr>
        <w:tab/>
      </w:r>
      <w:r w:rsidRPr="004639EC">
        <w:rPr>
          <w:rFonts w:ascii="Open Sans" w:hAnsi="Open Sans" w:cs="Open Sans"/>
          <w:b/>
          <w:bCs/>
          <w:color w:val="auto"/>
          <w:sz w:val="20"/>
          <w:szCs w:val="20"/>
        </w:rPr>
        <w:t>TAX-EXEMPT BONDS</w:t>
      </w:r>
    </w:p>
    <w:p w14:paraId="05067AD8" w14:textId="77777777"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Overview</w:t>
      </w:r>
    </w:p>
    <w:p w14:paraId="4576C9FF" w14:textId="77777777" w:rsidR="004639EC" w:rsidRDefault="004639EC" w:rsidP="004639EC">
      <w:pPr>
        <w:pStyle w:val="BasicParagraph"/>
        <w:rPr>
          <w:rFonts w:ascii="Open Sans" w:hAnsi="Open Sans" w:cs="Open Sans"/>
          <w:color w:val="auto"/>
          <w:sz w:val="20"/>
          <w:szCs w:val="20"/>
        </w:rPr>
      </w:pPr>
    </w:p>
    <w:p w14:paraId="6991BFDA" w14:textId="0BE83A2A" w:rsid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 xml:space="preserve">The HRA has annual authority to issue tax-exempt revenue bonds. These bonds may be used to provide rental housing financing for the development of new rental housing, or the acquisition and rehabilitation </w:t>
      </w:r>
      <w:r w:rsidRPr="004639EC">
        <w:rPr>
          <w:rFonts w:ascii="Open Sans" w:hAnsi="Open Sans" w:cs="Open Sans"/>
          <w:color w:val="auto"/>
          <w:sz w:val="20"/>
          <w:szCs w:val="20"/>
        </w:rPr>
        <w:lastRenderedPageBreak/>
        <w:t>of existing rental housing. Automatic 4% tax credits can be used for projects with tax exempt revenue bond financing. However, to receive the tax credits, the project must meet the “</w:t>
      </w:r>
      <w:r>
        <w:rPr>
          <w:rFonts w:ascii="Open Sans" w:hAnsi="Open Sans" w:cs="Open Sans"/>
          <w:color w:val="auto"/>
          <w:sz w:val="20"/>
          <w:szCs w:val="20"/>
        </w:rPr>
        <w:t>25</w:t>
      </w:r>
      <w:r w:rsidRPr="004639EC">
        <w:rPr>
          <w:rFonts w:ascii="Open Sans" w:hAnsi="Open Sans" w:cs="Open Sans"/>
          <w:color w:val="auto"/>
          <w:sz w:val="20"/>
          <w:szCs w:val="20"/>
        </w:rPr>
        <w:t xml:space="preserve">% test” which means at least </w:t>
      </w:r>
      <w:r>
        <w:rPr>
          <w:rFonts w:ascii="Open Sans" w:hAnsi="Open Sans" w:cs="Open Sans"/>
          <w:color w:val="auto"/>
          <w:sz w:val="20"/>
          <w:szCs w:val="20"/>
        </w:rPr>
        <w:t>25</w:t>
      </w:r>
      <w:r w:rsidRPr="004639EC">
        <w:rPr>
          <w:rFonts w:ascii="Open Sans" w:hAnsi="Open Sans" w:cs="Open Sans"/>
          <w:color w:val="auto"/>
          <w:sz w:val="20"/>
          <w:szCs w:val="20"/>
        </w:rPr>
        <w:t>% of the aggregate basis of any building and the land must be initially financed with bond proceeds, but no more than 53% of the aggregate basis will be issued in accordance with HRA policy and Saint Paul’s Qualified Allocation Plan (QAP). The rental housing must meet income</w:t>
      </w:r>
      <w:r>
        <w:rPr>
          <w:rFonts w:ascii="Open Sans" w:hAnsi="Open Sans" w:cs="Open Sans"/>
          <w:color w:val="auto"/>
          <w:sz w:val="20"/>
          <w:szCs w:val="20"/>
        </w:rPr>
        <w:t xml:space="preserve"> </w:t>
      </w:r>
      <w:r w:rsidRPr="004639EC">
        <w:rPr>
          <w:rFonts w:ascii="Open Sans" w:hAnsi="Open Sans" w:cs="Open Sans"/>
          <w:color w:val="auto"/>
          <w:sz w:val="20"/>
          <w:szCs w:val="20"/>
        </w:rPr>
        <w:t>and rent restrictions with at least 20% of the units occupied by households with incomes at 50% AMI or less, or at least 40% of the units must be occupied by households with incomes at 60% AMI or less.</w:t>
      </w:r>
    </w:p>
    <w:p w14:paraId="5604814B" w14:textId="77777777" w:rsidR="004639EC" w:rsidRPr="004639EC" w:rsidRDefault="004639EC" w:rsidP="004639EC">
      <w:pPr>
        <w:pStyle w:val="BasicParagraph"/>
        <w:rPr>
          <w:rFonts w:ascii="Open Sans" w:hAnsi="Open Sans" w:cs="Open Sans"/>
          <w:color w:val="auto"/>
          <w:sz w:val="20"/>
          <w:szCs w:val="20"/>
        </w:rPr>
      </w:pPr>
    </w:p>
    <w:p w14:paraId="177A0E2D" w14:textId="77777777"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How to apply</w:t>
      </w:r>
    </w:p>
    <w:p w14:paraId="407E911D" w14:textId="77777777" w:rsidR="004639EC" w:rsidRP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Bonds are awarded on a pipeline basis. Please contact the Housing Director for more information on bond availability.</w:t>
      </w:r>
    </w:p>
    <w:p w14:paraId="24A72325" w14:textId="77777777" w:rsidR="004639EC" w:rsidRDefault="004639EC" w:rsidP="004639EC">
      <w:pPr>
        <w:pStyle w:val="BasicParagraph"/>
        <w:rPr>
          <w:rFonts w:ascii="Open Sans" w:hAnsi="Open Sans" w:cs="Open Sans"/>
          <w:color w:val="auto"/>
          <w:sz w:val="20"/>
          <w:szCs w:val="20"/>
        </w:rPr>
      </w:pPr>
    </w:p>
    <w:p w14:paraId="5291EB49" w14:textId="6599F7F1" w:rsidR="004639EC" w:rsidRPr="004639EC" w:rsidRDefault="004639EC" w:rsidP="004639EC">
      <w:pPr>
        <w:pStyle w:val="BasicParagraph"/>
        <w:ind w:left="1260" w:hanging="900"/>
        <w:rPr>
          <w:rFonts w:ascii="Open Sans" w:hAnsi="Open Sans" w:cs="Open Sans"/>
          <w:b/>
          <w:bCs/>
          <w:color w:val="auto"/>
          <w:sz w:val="20"/>
          <w:szCs w:val="20"/>
        </w:rPr>
      </w:pPr>
      <w:r w:rsidRPr="004639EC">
        <w:rPr>
          <w:rFonts w:ascii="Open Sans" w:hAnsi="Open Sans" w:cs="Open Sans"/>
          <w:b/>
          <w:bCs/>
          <w:color w:val="auto"/>
          <w:sz w:val="20"/>
          <w:szCs w:val="20"/>
        </w:rPr>
        <w:t>III.</w:t>
      </w:r>
      <w:r>
        <w:rPr>
          <w:rFonts w:ascii="Open Sans" w:hAnsi="Open Sans" w:cs="Open Sans"/>
          <w:b/>
          <w:bCs/>
          <w:color w:val="auto"/>
          <w:sz w:val="20"/>
          <w:szCs w:val="20"/>
        </w:rPr>
        <w:t xml:space="preserve"> </w:t>
      </w:r>
      <w:r>
        <w:rPr>
          <w:rFonts w:ascii="Open Sans" w:hAnsi="Open Sans" w:cs="Open Sans"/>
          <w:b/>
          <w:bCs/>
          <w:color w:val="auto"/>
          <w:sz w:val="20"/>
          <w:szCs w:val="20"/>
        </w:rPr>
        <w:tab/>
      </w:r>
      <w:r w:rsidRPr="004639EC">
        <w:rPr>
          <w:rFonts w:ascii="Open Sans" w:hAnsi="Open Sans" w:cs="Open Sans"/>
          <w:b/>
          <w:bCs/>
          <w:color w:val="auto"/>
          <w:sz w:val="20"/>
          <w:szCs w:val="20"/>
        </w:rPr>
        <w:t>TAX INCREMENT FINANCING (TIF) FOR AFFORDABLE HOUSING</w:t>
      </w:r>
    </w:p>
    <w:p w14:paraId="42FC42FC" w14:textId="77777777"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Overview</w:t>
      </w:r>
    </w:p>
    <w:p w14:paraId="2C02F744" w14:textId="77777777" w:rsidR="004639EC" w:rsidRDefault="004639EC" w:rsidP="004639EC">
      <w:pPr>
        <w:pStyle w:val="BasicParagraph"/>
        <w:rPr>
          <w:rFonts w:ascii="Open Sans" w:hAnsi="Open Sans" w:cs="Open Sans"/>
          <w:color w:val="auto"/>
          <w:sz w:val="20"/>
          <w:szCs w:val="20"/>
        </w:rPr>
      </w:pPr>
    </w:p>
    <w:p w14:paraId="62A293DD" w14:textId="0A6B3D43" w:rsidR="004639EC" w:rsidRP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 xml:space="preserve">The HRA utilizes the creation of tax increment financing (TIF) districts to advance private development of affordable housing that otherwise would not occur. The affordable housing project must meet the tax-exempt bond/4% tax credit income requirements (i.e., at least 20% of the units restricted </w:t>
      </w:r>
      <w:r w:rsidR="0000186B">
        <w:rPr>
          <w:rFonts w:ascii="Open Sans" w:hAnsi="Open Sans" w:cs="Open Sans"/>
          <w:color w:val="auto"/>
          <w:sz w:val="20"/>
          <w:szCs w:val="20"/>
        </w:rPr>
        <w:t>at</w:t>
      </w:r>
      <w:r w:rsidRPr="004639EC">
        <w:rPr>
          <w:rFonts w:ascii="Open Sans" w:hAnsi="Open Sans" w:cs="Open Sans"/>
          <w:color w:val="auto"/>
          <w:sz w:val="20"/>
          <w:szCs w:val="20"/>
        </w:rPr>
        <w:t xml:space="preserve"> 50% AMI, or at least 40% of the units restricted at 60% AMI). The TIF district captures the increased taxes from the development and redirects a portion to reimburse the developer over time for qualifying costs.</w:t>
      </w:r>
    </w:p>
    <w:p w14:paraId="7E70CE18" w14:textId="77777777" w:rsidR="004639EC" w:rsidRDefault="004639EC" w:rsidP="004639EC">
      <w:pPr>
        <w:pStyle w:val="BasicParagraph"/>
        <w:rPr>
          <w:rFonts w:ascii="Open Sans" w:hAnsi="Open Sans" w:cs="Open Sans"/>
          <w:color w:val="auto"/>
          <w:sz w:val="20"/>
          <w:szCs w:val="20"/>
        </w:rPr>
      </w:pPr>
    </w:p>
    <w:p w14:paraId="120F68B8" w14:textId="5EC9CAAA"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How to apply</w:t>
      </w:r>
    </w:p>
    <w:p w14:paraId="287D5954" w14:textId="77777777" w:rsidR="004639EC" w:rsidRDefault="004639EC" w:rsidP="004639EC">
      <w:pPr>
        <w:pStyle w:val="BasicParagraph"/>
        <w:rPr>
          <w:rFonts w:ascii="Open Sans" w:hAnsi="Open Sans" w:cs="Open Sans"/>
          <w:color w:val="auto"/>
          <w:sz w:val="20"/>
          <w:szCs w:val="20"/>
        </w:rPr>
      </w:pPr>
    </w:p>
    <w:p w14:paraId="74310FBE" w14:textId="489F75F7" w:rsid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TIF for Affordable Housing is awarded per project on an ongoing basis. Please contact the Housing Director for more information.</w:t>
      </w:r>
    </w:p>
    <w:p w14:paraId="70C2A328" w14:textId="77777777" w:rsidR="004639EC" w:rsidRPr="004639EC" w:rsidRDefault="004639EC" w:rsidP="004639EC">
      <w:pPr>
        <w:pStyle w:val="BasicParagraph"/>
        <w:rPr>
          <w:rFonts w:ascii="Open Sans" w:hAnsi="Open Sans" w:cs="Open Sans"/>
          <w:color w:val="auto"/>
          <w:sz w:val="20"/>
          <w:szCs w:val="20"/>
        </w:rPr>
      </w:pPr>
    </w:p>
    <w:p w14:paraId="1935CF02" w14:textId="744BA059" w:rsidR="004639EC" w:rsidRPr="004639EC" w:rsidRDefault="004639EC" w:rsidP="004639EC">
      <w:pPr>
        <w:pStyle w:val="BasicParagraph"/>
        <w:ind w:left="1260" w:hanging="900"/>
        <w:rPr>
          <w:rFonts w:ascii="Open Sans" w:hAnsi="Open Sans" w:cs="Open Sans"/>
          <w:b/>
          <w:bCs/>
          <w:color w:val="auto"/>
          <w:sz w:val="20"/>
          <w:szCs w:val="20"/>
        </w:rPr>
      </w:pPr>
      <w:r w:rsidRPr="004639EC">
        <w:rPr>
          <w:rFonts w:ascii="Open Sans" w:hAnsi="Open Sans" w:cs="Open Sans"/>
          <w:b/>
          <w:bCs/>
          <w:color w:val="auto"/>
          <w:sz w:val="20"/>
          <w:szCs w:val="20"/>
        </w:rPr>
        <w:t xml:space="preserve">IV. </w:t>
      </w:r>
      <w:r>
        <w:rPr>
          <w:rFonts w:ascii="Open Sans" w:hAnsi="Open Sans" w:cs="Open Sans"/>
          <w:b/>
          <w:bCs/>
          <w:color w:val="auto"/>
          <w:sz w:val="20"/>
          <w:szCs w:val="20"/>
        </w:rPr>
        <w:tab/>
      </w:r>
      <w:r w:rsidRPr="004639EC">
        <w:rPr>
          <w:rFonts w:ascii="Open Sans" w:hAnsi="Open Sans" w:cs="Open Sans"/>
          <w:b/>
          <w:bCs/>
          <w:color w:val="auto"/>
          <w:sz w:val="20"/>
          <w:szCs w:val="20"/>
        </w:rPr>
        <w:t>HOME PARTNERSHIP PROGRAM (HOME)</w:t>
      </w:r>
    </w:p>
    <w:p w14:paraId="40533141" w14:textId="77777777"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Overview</w:t>
      </w:r>
    </w:p>
    <w:p w14:paraId="2766E192" w14:textId="77777777" w:rsidR="004639EC" w:rsidRDefault="004639EC" w:rsidP="004639EC">
      <w:pPr>
        <w:pStyle w:val="BasicParagraph"/>
        <w:rPr>
          <w:rFonts w:ascii="Open Sans" w:hAnsi="Open Sans" w:cs="Open Sans"/>
          <w:color w:val="auto"/>
          <w:sz w:val="20"/>
          <w:szCs w:val="20"/>
        </w:rPr>
      </w:pPr>
    </w:p>
    <w:p w14:paraId="529566ED" w14:textId="2BC49D97" w:rsid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 xml:space="preserve">The HOME Investment Partnerships Program (HOME) provides formula grants to states and localities that can be used to fund a wide range of activities including building, buying, and/or rehabilitating affordable housing for rental or homeownership, or providing direct rental assistance to low-income people. HOME funds are awarded annually as formula grants to participating jurisdictions (PJs). The City of Saint Paul’s </w:t>
      </w:r>
      <w:hyperlink r:id="rId14" w:history="1">
        <w:r w:rsidRPr="004639EC">
          <w:rPr>
            <w:rStyle w:val="Hyperlink"/>
            <w:rFonts w:ascii="Open Sans" w:hAnsi="Open Sans" w:cs="Open Sans"/>
            <w:sz w:val="20"/>
            <w:szCs w:val="20"/>
          </w:rPr>
          <w:t>Consolidated Plan</w:t>
        </w:r>
      </w:hyperlink>
      <w:r w:rsidRPr="004639EC">
        <w:rPr>
          <w:rFonts w:ascii="Open Sans" w:hAnsi="Open Sans" w:cs="Open Sans"/>
          <w:color w:val="auto"/>
          <w:sz w:val="20"/>
          <w:szCs w:val="20"/>
        </w:rPr>
        <w:t xml:space="preserve"> describes the activities the HRA will undertake with these resources including acquisition, rehabilitation, or new construction of multifamily rental housing.</w:t>
      </w:r>
    </w:p>
    <w:p w14:paraId="62F38666" w14:textId="77777777" w:rsidR="00520FF4" w:rsidRPr="004639EC" w:rsidRDefault="00520FF4" w:rsidP="004639EC">
      <w:pPr>
        <w:pStyle w:val="BasicParagraph"/>
        <w:rPr>
          <w:rFonts w:ascii="Open Sans" w:hAnsi="Open Sans" w:cs="Open Sans"/>
          <w:color w:val="auto"/>
          <w:sz w:val="20"/>
          <w:szCs w:val="20"/>
        </w:rPr>
      </w:pPr>
    </w:p>
    <w:p w14:paraId="489A638B" w14:textId="692B0F4A" w:rsidR="004639EC" w:rsidRP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lastRenderedPageBreak/>
        <w:t xml:space="preserve">The </w:t>
      </w:r>
      <w:r w:rsidR="00757C0F">
        <w:rPr>
          <w:rFonts w:ascii="Open Sans" w:hAnsi="Open Sans" w:cs="Open Sans"/>
          <w:color w:val="auto"/>
          <w:sz w:val="20"/>
          <w:szCs w:val="20"/>
        </w:rPr>
        <w:t>city</w:t>
      </w:r>
      <w:r w:rsidRPr="004639EC">
        <w:rPr>
          <w:rFonts w:ascii="Open Sans" w:hAnsi="Open Sans" w:cs="Open Sans"/>
          <w:color w:val="auto"/>
          <w:sz w:val="20"/>
          <w:szCs w:val="20"/>
        </w:rPr>
        <w:t xml:space="preserve"> uses HOME funds to reinforce several important values and principles of community development:</w:t>
      </w:r>
    </w:p>
    <w:p w14:paraId="65E9B658" w14:textId="25C1DD01" w:rsidR="004639EC" w:rsidRPr="004639EC" w:rsidRDefault="004639EC" w:rsidP="00520FF4">
      <w:pPr>
        <w:pStyle w:val="BasicParagraph"/>
        <w:numPr>
          <w:ilvl w:val="0"/>
          <w:numId w:val="2"/>
        </w:numPr>
        <w:rPr>
          <w:rFonts w:ascii="Open Sans" w:hAnsi="Open Sans" w:cs="Open Sans"/>
          <w:color w:val="auto"/>
          <w:sz w:val="20"/>
          <w:szCs w:val="20"/>
        </w:rPr>
      </w:pPr>
      <w:r w:rsidRPr="004639EC">
        <w:rPr>
          <w:rFonts w:ascii="Open Sans" w:hAnsi="Open Sans" w:cs="Open Sans"/>
          <w:color w:val="auto"/>
          <w:sz w:val="20"/>
          <w:szCs w:val="20"/>
        </w:rPr>
        <w:t>Flexibility empowers people and communities to design and implement strategies tailored to their own needs and priorities.</w:t>
      </w:r>
    </w:p>
    <w:p w14:paraId="5205288E" w14:textId="5B9DF8FE" w:rsidR="004639EC" w:rsidRPr="004639EC" w:rsidRDefault="004639EC" w:rsidP="00520FF4">
      <w:pPr>
        <w:pStyle w:val="BasicParagraph"/>
        <w:numPr>
          <w:ilvl w:val="0"/>
          <w:numId w:val="2"/>
        </w:numPr>
        <w:rPr>
          <w:rFonts w:ascii="Open Sans" w:hAnsi="Open Sans" w:cs="Open Sans"/>
          <w:color w:val="auto"/>
          <w:sz w:val="20"/>
          <w:szCs w:val="20"/>
        </w:rPr>
      </w:pPr>
      <w:r w:rsidRPr="004639EC">
        <w:rPr>
          <w:rFonts w:ascii="Open Sans" w:hAnsi="Open Sans" w:cs="Open Sans"/>
          <w:color w:val="auto"/>
          <w:sz w:val="20"/>
          <w:szCs w:val="20"/>
        </w:rPr>
        <w:t>Emphasis on consolidated planning expands and strengthens partnerships among all levels of government and the private sector in the development of affordable housing.</w:t>
      </w:r>
    </w:p>
    <w:p w14:paraId="2AF1C094" w14:textId="56660EED" w:rsidR="004639EC" w:rsidRPr="004639EC" w:rsidRDefault="004639EC" w:rsidP="00520FF4">
      <w:pPr>
        <w:pStyle w:val="BasicParagraph"/>
        <w:numPr>
          <w:ilvl w:val="0"/>
          <w:numId w:val="2"/>
        </w:numPr>
        <w:rPr>
          <w:rFonts w:ascii="Open Sans" w:hAnsi="Open Sans" w:cs="Open Sans"/>
          <w:color w:val="auto"/>
          <w:sz w:val="20"/>
          <w:szCs w:val="20"/>
        </w:rPr>
      </w:pPr>
      <w:r w:rsidRPr="004639EC">
        <w:rPr>
          <w:rFonts w:ascii="Open Sans" w:hAnsi="Open Sans" w:cs="Open Sans"/>
          <w:color w:val="auto"/>
          <w:sz w:val="20"/>
          <w:szCs w:val="20"/>
        </w:rPr>
        <w:t>Set-aside for qualified community-based nonprofit housing groups builds the capacity of these partners.</w:t>
      </w:r>
    </w:p>
    <w:p w14:paraId="492759F2" w14:textId="77777777" w:rsidR="00520FF4" w:rsidRDefault="00520FF4" w:rsidP="004639EC">
      <w:pPr>
        <w:pStyle w:val="BasicParagraph"/>
        <w:rPr>
          <w:rFonts w:ascii="Open Sans" w:hAnsi="Open Sans" w:cs="Open Sans"/>
          <w:color w:val="auto"/>
          <w:sz w:val="20"/>
          <w:szCs w:val="20"/>
        </w:rPr>
      </w:pPr>
    </w:p>
    <w:p w14:paraId="1775C450" w14:textId="5B1D1017" w:rsidR="004639EC" w:rsidRP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 xml:space="preserve">For more information on the HOME Investment Partnerships Program, please visit: </w:t>
      </w:r>
      <w:hyperlink r:id="rId15" w:history="1">
        <w:r w:rsidRPr="004639EC">
          <w:rPr>
            <w:rStyle w:val="Hyperlink"/>
            <w:rFonts w:ascii="Open Sans" w:hAnsi="Open Sans" w:cs="Open Sans"/>
            <w:sz w:val="20"/>
            <w:szCs w:val="20"/>
          </w:rPr>
          <w:t>HOME Investment Partnerships Program | HUD.gov / U.S. Department of Housing and Urban Development (HUD)</w:t>
        </w:r>
      </w:hyperlink>
    </w:p>
    <w:p w14:paraId="4C0023C8" w14:textId="77777777" w:rsidR="00520FF4" w:rsidRDefault="00520FF4" w:rsidP="004639EC">
      <w:pPr>
        <w:pStyle w:val="BasicParagraph"/>
        <w:rPr>
          <w:rFonts w:ascii="Open Sans" w:hAnsi="Open Sans" w:cs="Open Sans"/>
          <w:color w:val="auto"/>
          <w:sz w:val="20"/>
          <w:szCs w:val="20"/>
        </w:rPr>
      </w:pPr>
    </w:p>
    <w:p w14:paraId="1BF8DCAC" w14:textId="04FF2A23"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How to apply</w:t>
      </w:r>
    </w:p>
    <w:p w14:paraId="37D81E4B" w14:textId="77777777" w:rsidR="00520FF4" w:rsidRDefault="00520FF4" w:rsidP="004639EC">
      <w:pPr>
        <w:pStyle w:val="BasicParagraph"/>
        <w:rPr>
          <w:rFonts w:ascii="Open Sans" w:hAnsi="Open Sans" w:cs="Open Sans"/>
          <w:color w:val="auto"/>
          <w:sz w:val="20"/>
          <w:szCs w:val="20"/>
        </w:rPr>
      </w:pPr>
    </w:p>
    <w:p w14:paraId="35368163" w14:textId="3C6989CC" w:rsidR="004639EC" w:rsidRP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HOME funds are awarded per project on an ongoing basis. Please contact the Housing Director for more information on funding availability.</w:t>
      </w:r>
    </w:p>
    <w:p w14:paraId="4C8663E4" w14:textId="77777777" w:rsidR="00520FF4" w:rsidRDefault="00520FF4" w:rsidP="004639EC">
      <w:pPr>
        <w:pStyle w:val="BasicParagraph"/>
        <w:rPr>
          <w:rFonts w:ascii="Open Sans" w:hAnsi="Open Sans" w:cs="Open Sans"/>
          <w:color w:val="auto"/>
          <w:sz w:val="20"/>
          <w:szCs w:val="20"/>
        </w:rPr>
      </w:pPr>
    </w:p>
    <w:p w14:paraId="070E70B6" w14:textId="05BEDE62" w:rsidR="004639EC" w:rsidRPr="004639EC" w:rsidRDefault="004639EC" w:rsidP="00520FF4">
      <w:pPr>
        <w:pStyle w:val="BasicParagraph"/>
        <w:ind w:left="1260" w:hanging="900"/>
        <w:rPr>
          <w:rFonts w:ascii="Open Sans" w:hAnsi="Open Sans" w:cs="Open Sans"/>
          <w:b/>
          <w:bCs/>
          <w:color w:val="auto"/>
          <w:sz w:val="20"/>
          <w:szCs w:val="20"/>
        </w:rPr>
      </w:pPr>
      <w:r w:rsidRPr="004639EC">
        <w:rPr>
          <w:rFonts w:ascii="Open Sans" w:hAnsi="Open Sans" w:cs="Open Sans"/>
          <w:b/>
          <w:bCs/>
          <w:color w:val="auto"/>
          <w:sz w:val="20"/>
          <w:szCs w:val="20"/>
        </w:rPr>
        <w:t xml:space="preserve">V. </w:t>
      </w:r>
      <w:r w:rsidR="00520FF4">
        <w:rPr>
          <w:rFonts w:ascii="Open Sans" w:hAnsi="Open Sans" w:cs="Open Sans"/>
          <w:b/>
          <w:bCs/>
          <w:color w:val="auto"/>
          <w:sz w:val="20"/>
          <w:szCs w:val="20"/>
        </w:rPr>
        <w:tab/>
      </w:r>
      <w:r w:rsidRPr="004639EC">
        <w:rPr>
          <w:rFonts w:ascii="Open Sans" w:hAnsi="Open Sans" w:cs="Open Sans"/>
          <w:b/>
          <w:bCs/>
          <w:color w:val="auto"/>
          <w:sz w:val="20"/>
          <w:szCs w:val="20"/>
        </w:rPr>
        <w:t>COMMUNITY DEVELOPMENT BLOCK GRANT (CDBG)</w:t>
      </w:r>
    </w:p>
    <w:p w14:paraId="50069D01" w14:textId="77777777"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Overview</w:t>
      </w:r>
    </w:p>
    <w:p w14:paraId="117A4CD5" w14:textId="77777777" w:rsidR="00520FF4" w:rsidRDefault="00520FF4" w:rsidP="004639EC">
      <w:pPr>
        <w:pStyle w:val="BasicParagraph"/>
        <w:rPr>
          <w:rFonts w:ascii="Open Sans" w:hAnsi="Open Sans" w:cs="Open Sans"/>
          <w:color w:val="auto"/>
          <w:sz w:val="20"/>
          <w:szCs w:val="20"/>
        </w:rPr>
      </w:pPr>
    </w:p>
    <w:p w14:paraId="28C2139E" w14:textId="0665FBD2" w:rsid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The Community Development Block Grant (CDBG) Program provides annual grants on a formula basis to states, cities, and counties to develop viable urban communities by providing decent housing and a suitable living environment, and by expanding economic opportunities, principally for low- and moderate-income persons.</w:t>
      </w:r>
    </w:p>
    <w:p w14:paraId="50FB951A" w14:textId="77777777" w:rsidR="00520FF4" w:rsidRPr="004639EC" w:rsidRDefault="00520FF4" w:rsidP="004639EC">
      <w:pPr>
        <w:pStyle w:val="BasicParagraph"/>
        <w:rPr>
          <w:rFonts w:ascii="Open Sans" w:hAnsi="Open Sans" w:cs="Open Sans"/>
          <w:color w:val="auto"/>
          <w:sz w:val="20"/>
          <w:szCs w:val="20"/>
        </w:rPr>
      </w:pPr>
    </w:p>
    <w:p w14:paraId="38776F96" w14:textId="310BE616" w:rsidR="004639EC" w:rsidRP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 xml:space="preserve">The City of Saint Paul’s </w:t>
      </w:r>
      <w:hyperlink r:id="rId16" w:history="1">
        <w:r w:rsidRPr="004639EC">
          <w:rPr>
            <w:rStyle w:val="Hyperlink"/>
            <w:rFonts w:ascii="Open Sans" w:hAnsi="Open Sans" w:cs="Open Sans"/>
            <w:sz w:val="20"/>
            <w:szCs w:val="20"/>
          </w:rPr>
          <w:t>Consolidated Plan</w:t>
        </w:r>
      </w:hyperlink>
      <w:r w:rsidRPr="004639EC">
        <w:rPr>
          <w:rFonts w:ascii="Open Sans" w:hAnsi="Open Sans" w:cs="Open Sans"/>
          <w:color w:val="auto"/>
          <w:sz w:val="20"/>
          <w:szCs w:val="20"/>
        </w:rPr>
        <w:t xml:space="preserve"> describes the activities the HRA will undertake with these resources, including the following housing related activities: multifamily rental rehabilitation and new construction, single family rehabilitation and development through non-profit partners and direct City projects.</w:t>
      </w:r>
    </w:p>
    <w:p w14:paraId="6960CA14" w14:textId="77777777" w:rsidR="00520FF4" w:rsidRDefault="00520FF4" w:rsidP="004639EC">
      <w:pPr>
        <w:pStyle w:val="BasicParagraph"/>
        <w:rPr>
          <w:rFonts w:ascii="Open Sans" w:hAnsi="Open Sans" w:cs="Open Sans"/>
          <w:color w:val="auto"/>
          <w:sz w:val="20"/>
          <w:szCs w:val="20"/>
        </w:rPr>
      </w:pPr>
    </w:p>
    <w:p w14:paraId="5900A981" w14:textId="6FF5CE68" w:rsid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 xml:space="preserve">The </w:t>
      </w:r>
      <w:r w:rsidR="00757C0F">
        <w:rPr>
          <w:rFonts w:ascii="Open Sans" w:hAnsi="Open Sans" w:cs="Open Sans"/>
          <w:color w:val="auto"/>
          <w:sz w:val="20"/>
          <w:szCs w:val="20"/>
        </w:rPr>
        <w:t>city</w:t>
      </w:r>
      <w:r w:rsidRPr="004639EC">
        <w:rPr>
          <w:rFonts w:ascii="Open Sans" w:hAnsi="Open Sans" w:cs="Open Sans"/>
          <w:color w:val="auto"/>
          <w:sz w:val="20"/>
          <w:szCs w:val="20"/>
        </w:rPr>
        <w:t xml:space="preserve"> uses CDBG funds to reinforce several important values and principles of community development, including the following:</w:t>
      </w:r>
    </w:p>
    <w:p w14:paraId="39045731" w14:textId="77777777" w:rsidR="00520FF4" w:rsidRPr="004639EC" w:rsidRDefault="00520FF4" w:rsidP="004639EC">
      <w:pPr>
        <w:pStyle w:val="BasicParagraph"/>
        <w:rPr>
          <w:rFonts w:ascii="Open Sans" w:hAnsi="Open Sans" w:cs="Open Sans"/>
          <w:color w:val="auto"/>
          <w:sz w:val="20"/>
          <w:szCs w:val="20"/>
        </w:rPr>
      </w:pPr>
    </w:p>
    <w:p w14:paraId="097395CE" w14:textId="0130E6B9" w:rsidR="004639EC" w:rsidRPr="004639EC" w:rsidRDefault="004639EC" w:rsidP="00520FF4">
      <w:pPr>
        <w:pStyle w:val="BasicParagraph"/>
        <w:numPr>
          <w:ilvl w:val="0"/>
          <w:numId w:val="4"/>
        </w:numPr>
        <w:rPr>
          <w:rFonts w:ascii="Open Sans" w:hAnsi="Open Sans" w:cs="Open Sans"/>
          <w:color w:val="auto"/>
          <w:sz w:val="20"/>
          <w:szCs w:val="20"/>
        </w:rPr>
      </w:pPr>
      <w:r w:rsidRPr="004639EC">
        <w:rPr>
          <w:rFonts w:ascii="Open Sans" w:hAnsi="Open Sans" w:cs="Open Sans"/>
          <w:color w:val="auto"/>
          <w:sz w:val="20"/>
          <w:szCs w:val="20"/>
        </w:rPr>
        <w:t>CDBG's flexibility empowers people and communities to design and implement strategies tailored to their own needs and priorities.</w:t>
      </w:r>
    </w:p>
    <w:p w14:paraId="3246AE71" w14:textId="6DD83626" w:rsidR="004639EC" w:rsidRPr="004639EC" w:rsidRDefault="004639EC" w:rsidP="00520FF4">
      <w:pPr>
        <w:pStyle w:val="BasicParagraph"/>
        <w:numPr>
          <w:ilvl w:val="0"/>
          <w:numId w:val="4"/>
        </w:numPr>
        <w:rPr>
          <w:rFonts w:ascii="Open Sans" w:hAnsi="Open Sans" w:cs="Open Sans"/>
          <w:color w:val="auto"/>
          <w:sz w:val="20"/>
          <w:szCs w:val="20"/>
        </w:rPr>
      </w:pPr>
      <w:r w:rsidRPr="004639EC">
        <w:rPr>
          <w:rFonts w:ascii="Open Sans" w:hAnsi="Open Sans" w:cs="Open Sans"/>
          <w:color w:val="auto"/>
          <w:sz w:val="20"/>
          <w:szCs w:val="20"/>
        </w:rPr>
        <w:t>CDBG's emphasis on consolidated planning expands and strengthens partnerships among all levels of government and the private sector in enhancing community development.</w:t>
      </w:r>
    </w:p>
    <w:p w14:paraId="5C9EFE24" w14:textId="1AA22FB7" w:rsidR="004639EC" w:rsidRPr="004639EC" w:rsidRDefault="004639EC" w:rsidP="00520FF4">
      <w:pPr>
        <w:pStyle w:val="BasicParagraph"/>
        <w:numPr>
          <w:ilvl w:val="0"/>
          <w:numId w:val="4"/>
        </w:numPr>
        <w:rPr>
          <w:rFonts w:ascii="Open Sans" w:hAnsi="Open Sans" w:cs="Open Sans"/>
          <w:color w:val="auto"/>
          <w:sz w:val="20"/>
          <w:szCs w:val="20"/>
        </w:rPr>
      </w:pPr>
      <w:r w:rsidRPr="004639EC">
        <w:rPr>
          <w:rFonts w:ascii="Open Sans" w:hAnsi="Open Sans" w:cs="Open Sans"/>
          <w:color w:val="auto"/>
          <w:sz w:val="20"/>
          <w:szCs w:val="20"/>
        </w:rPr>
        <w:lastRenderedPageBreak/>
        <w:t>CDBG's technical assistance activities and set-aside for grantees builds the capacity of these partners.</w:t>
      </w:r>
    </w:p>
    <w:p w14:paraId="5A8883CB" w14:textId="2BEBE2D2" w:rsidR="004639EC" w:rsidRP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 xml:space="preserve">For more information on the CDBG program, please visit: </w:t>
      </w:r>
      <w:hyperlink r:id="rId17" w:history="1">
        <w:r w:rsidRPr="004639EC">
          <w:rPr>
            <w:rStyle w:val="Hyperlink"/>
            <w:rFonts w:ascii="Open Sans" w:hAnsi="Open Sans" w:cs="Open Sans"/>
            <w:sz w:val="20"/>
            <w:szCs w:val="20"/>
          </w:rPr>
          <w:t>Community Development Block Grant Program| HUD.gov / U.S. Department of Housing and Urban Development (HUD)</w:t>
        </w:r>
      </w:hyperlink>
    </w:p>
    <w:p w14:paraId="4AE52802" w14:textId="77777777" w:rsidR="00520FF4" w:rsidRDefault="00520FF4" w:rsidP="004639EC">
      <w:pPr>
        <w:pStyle w:val="BasicParagraph"/>
        <w:rPr>
          <w:rFonts w:ascii="Open Sans" w:hAnsi="Open Sans" w:cs="Open Sans"/>
          <w:color w:val="auto"/>
          <w:sz w:val="20"/>
          <w:szCs w:val="20"/>
        </w:rPr>
      </w:pPr>
    </w:p>
    <w:p w14:paraId="4234DEFC" w14:textId="136954C1" w:rsidR="004639EC" w:rsidRPr="004639EC" w:rsidRDefault="004639EC" w:rsidP="004639EC">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How to apply</w:t>
      </w:r>
    </w:p>
    <w:p w14:paraId="39E760FB" w14:textId="77777777" w:rsidR="00520FF4" w:rsidRDefault="00520FF4" w:rsidP="004639EC">
      <w:pPr>
        <w:pStyle w:val="BasicParagraph"/>
        <w:rPr>
          <w:rFonts w:ascii="Open Sans" w:hAnsi="Open Sans" w:cs="Open Sans"/>
          <w:color w:val="auto"/>
          <w:sz w:val="20"/>
          <w:szCs w:val="20"/>
        </w:rPr>
      </w:pPr>
    </w:p>
    <w:p w14:paraId="015B3408" w14:textId="45BBDF83" w:rsidR="004639EC" w:rsidRPr="004639EC" w:rsidRDefault="004639EC" w:rsidP="004639EC">
      <w:pPr>
        <w:pStyle w:val="BasicParagraph"/>
        <w:rPr>
          <w:rFonts w:ascii="Open Sans" w:hAnsi="Open Sans" w:cs="Open Sans"/>
          <w:color w:val="auto"/>
          <w:sz w:val="20"/>
          <w:szCs w:val="20"/>
        </w:rPr>
      </w:pPr>
      <w:r w:rsidRPr="004639EC">
        <w:rPr>
          <w:rFonts w:ascii="Open Sans" w:hAnsi="Open Sans" w:cs="Open Sans"/>
          <w:color w:val="auto"/>
          <w:sz w:val="20"/>
          <w:szCs w:val="20"/>
        </w:rPr>
        <w:t>CDBG funds for direct City projects are awarded per project on an ongoing basis. Non- profit partners selected through the City’s Capital Improvement Budget process can receive funding for projects in accordance with program guidelines. Please contact the Housing Director for more information on fundin</w:t>
      </w:r>
      <w:r w:rsidR="00520FF4">
        <w:rPr>
          <w:rFonts w:ascii="Open Sans" w:hAnsi="Open Sans" w:cs="Open Sans"/>
          <w:color w:val="auto"/>
          <w:sz w:val="20"/>
          <w:szCs w:val="20"/>
        </w:rPr>
        <w:t xml:space="preserve">g availability. </w:t>
      </w:r>
    </w:p>
    <w:p w14:paraId="3B3F4D9A" w14:textId="22E7B927" w:rsidR="00897D97" w:rsidRDefault="00897D97" w:rsidP="004639EC">
      <w:pPr>
        <w:pStyle w:val="BasicParagraph"/>
        <w:rPr>
          <w:rFonts w:ascii="Verdana" w:hAnsi="Verdana"/>
          <w:color w:val="auto"/>
          <w:sz w:val="18"/>
          <w:szCs w:val="18"/>
        </w:rPr>
      </w:pPr>
    </w:p>
    <w:p w14:paraId="7A49AB3B" w14:textId="5D1D2732" w:rsidR="00520FF4" w:rsidRPr="004639EC" w:rsidRDefault="00520FF4" w:rsidP="00520FF4">
      <w:pPr>
        <w:pStyle w:val="BasicParagraph"/>
        <w:ind w:left="1260" w:hanging="900"/>
        <w:rPr>
          <w:rFonts w:ascii="Open Sans" w:hAnsi="Open Sans" w:cs="Open Sans"/>
          <w:b/>
          <w:bCs/>
          <w:color w:val="auto"/>
          <w:sz w:val="20"/>
          <w:szCs w:val="20"/>
        </w:rPr>
      </w:pPr>
      <w:r w:rsidRPr="004639EC">
        <w:rPr>
          <w:rFonts w:ascii="Open Sans" w:hAnsi="Open Sans" w:cs="Open Sans"/>
          <w:b/>
          <w:bCs/>
          <w:color w:val="auto"/>
          <w:sz w:val="20"/>
          <w:szCs w:val="20"/>
        </w:rPr>
        <w:t>V</w:t>
      </w:r>
      <w:r>
        <w:rPr>
          <w:rFonts w:ascii="Open Sans" w:hAnsi="Open Sans" w:cs="Open Sans"/>
          <w:b/>
          <w:bCs/>
          <w:color w:val="auto"/>
          <w:sz w:val="20"/>
          <w:szCs w:val="20"/>
        </w:rPr>
        <w:t>I</w:t>
      </w:r>
      <w:r w:rsidRPr="004639EC">
        <w:rPr>
          <w:rFonts w:ascii="Open Sans" w:hAnsi="Open Sans" w:cs="Open Sans"/>
          <w:b/>
          <w:bCs/>
          <w:color w:val="auto"/>
          <w:sz w:val="20"/>
          <w:szCs w:val="20"/>
        </w:rPr>
        <w:t xml:space="preserve">. </w:t>
      </w:r>
      <w:r>
        <w:rPr>
          <w:rFonts w:ascii="Open Sans" w:hAnsi="Open Sans" w:cs="Open Sans"/>
          <w:b/>
          <w:bCs/>
          <w:color w:val="auto"/>
          <w:sz w:val="20"/>
          <w:szCs w:val="20"/>
        </w:rPr>
        <w:tab/>
        <w:t>LOCAL AFFORDABLE HOUSING AID</w:t>
      </w:r>
    </w:p>
    <w:p w14:paraId="773ADD75" w14:textId="77777777" w:rsidR="00520FF4" w:rsidRPr="004639EC" w:rsidRDefault="00520FF4" w:rsidP="00520FF4">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Overview</w:t>
      </w:r>
    </w:p>
    <w:p w14:paraId="284EC86B" w14:textId="77777777" w:rsidR="00520FF4" w:rsidRDefault="00520FF4" w:rsidP="00520FF4">
      <w:pPr>
        <w:pStyle w:val="BasicParagraph"/>
        <w:rPr>
          <w:rFonts w:ascii="Open Sans" w:hAnsi="Open Sans" w:cs="Open Sans"/>
          <w:color w:val="auto"/>
          <w:sz w:val="20"/>
          <w:szCs w:val="20"/>
        </w:rPr>
      </w:pPr>
    </w:p>
    <w:p w14:paraId="00E84D05" w14:textId="1FF6DF1E" w:rsidR="00757C0F" w:rsidRDefault="00520FF4" w:rsidP="00520FF4">
      <w:pPr>
        <w:pStyle w:val="BasicParagraph"/>
        <w:rPr>
          <w:rFonts w:ascii="Open Sans" w:hAnsi="Open Sans" w:cs="Open Sans"/>
          <w:color w:val="auto"/>
          <w:sz w:val="20"/>
          <w:szCs w:val="20"/>
        </w:rPr>
      </w:pPr>
      <w:r>
        <w:rPr>
          <w:rFonts w:ascii="Open Sans" w:hAnsi="Open Sans" w:cs="Open Sans"/>
          <w:color w:val="auto"/>
          <w:sz w:val="20"/>
          <w:szCs w:val="20"/>
        </w:rPr>
        <w:t xml:space="preserve">Local Affordable Housing Aid (LAHA) was created by the 2023 Legislature and is funded by a dedicated 0.25% sales </w:t>
      </w:r>
      <w:r w:rsidR="00757C0F">
        <w:rPr>
          <w:rFonts w:ascii="Open Sans" w:hAnsi="Open Sans" w:cs="Open Sans"/>
          <w:color w:val="auto"/>
          <w:sz w:val="20"/>
          <w:szCs w:val="20"/>
        </w:rPr>
        <w:t xml:space="preserve">and use </w:t>
      </w:r>
      <w:r>
        <w:rPr>
          <w:rFonts w:ascii="Open Sans" w:hAnsi="Open Sans" w:cs="Open Sans"/>
          <w:color w:val="auto"/>
          <w:sz w:val="20"/>
          <w:szCs w:val="20"/>
        </w:rPr>
        <w:t xml:space="preserve">tax imposed within the seven-county metropolitan area. </w:t>
      </w:r>
      <w:r w:rsidR="00757C0F">
        <w:rPr>
          <w:rFonts w:ascii="Open Sans" w:hAnsi="Open Sans" w:cs="Open Sans"/>
          <w:color w:val="auto"/>
          <w:sz w:val="20"/>
          <w:szCs w:val="20"/>
        </w:rPr>
        <w:t xml:space="preserve">An eligible recipient, the City of Saint Paul receives an annual appropriation for development and preservation of affordable housing, and support of households at or below 80% of AMI. </w:t>
      </w:r>
    </w:p>
    <w:p w14:paraId="2A11F4E5" w14:textId="77777777" w:rsidR="00757C0F" w:rsidRDefault="00757C0F" w:rsidP="00520FF4">
      <w:pPr>
        <w:pStyle w:val="BasicParagraph"/>
        <w:rPr>
          <w:rFonts w:ascii="Open Sans" w:hAnsi="Open Sans" w:cs="Open Sans"/>
          <w:color w:val="auto"/>
          <w:sz w:val="20"/>
          <w:szCs w:val="20"/>
        </w:rPr>
      </w:pPr>
    </w:p>
    <w:p w14:paraId="7CCAED6E" w14:textId="4A3B89E6" w:rsidR="00757C0F" w:rsidRDefault="00757C0F" w:rsidP="009F5FDD">
      <w:pPr>
        <w:pStyle w:val="BasicParagraph"/>
        <w:rPr>
          <w:rFonts w:ascii="Open Sans" w:hAnsi="Open Sans" w:cs="Open Sans"/>
          <w:color w:val="auto"/>
          <w:sz w:val="20"/>
          <w:szCs w:val="20"/>
        </w:rPr>
      </w:pPr>
      <w:r w:rsidRPr="0B83488B">
        <w:rPr>
          <w:rFonts w:ascii="Open Sans" w:hAnsi="Open Sans" w:cs="Open Sans"/>
          <w:color w:val="auto"/>
          <w:sz w:val="20"/>
          <w:szCs w:val="20"/>
        </w:rPr>
        <w:t xml:space="preserve">The city may undertake a variety of ownership and rental housing activities using LAHA funds including providing downpayment assistance to homebuyers, emergency rental assistance to households facing housing </w:t>
      </w:r>
      <w:r w:rsidR="009F5FDD" w:rsidRPr="0B83488B">
        <w:rPr>
          <w:rFonts w:ascii="Open Sans" w:hAnsi="Open Sans" w:cs="Open Sans"/>
          <w:color w:val="auto"/>
          <w:sz w:val="20"/>
          <w:szCs w:val="20"/>
        </w:rPr>
        <w:t xml:space="preserve">instability, acquisition, rehabilitation and new housing construction. These activities reinforce important values and principles of community development by focusing on reducing </w:t>
      </w:r>
      <w:r w:rsidRPr="0B83488B">
        <w:rPr>
          <w:rFonts w:ascii="Open Sans" w:hAnsi="Open Sans" w:cs="Open Sans"/>
          <w:color w:val="auto"/>
          <w:sz w:val="20"/>
          <w:szCs w:val="20"/>
        </w:rPr>
        <w:t>disparities in homeownership</w:t>
      </w:r>
      <w:r w:rsidR="009F5FDD" w:rsidRPr="0B83488B">
        <w:rPr>
          <w:rFonts w:ascii="Open Sans" w:hAnsi="Open Sans" w:cs="Open Sans"/>
          <w:color w:val="auto"/>
          <w:sz w:val="20"/>
          <w:szCs w:val="20"/>
        </w:rPr>
        <w:t>,</w:t>
      </w:r>
      <w:r w:rsidRPr="0B83488B">
        <w:rPr>
          <w:rFonts w:ascii="Open Sans" w:hAnsi="Open Sans" w:cs="Open Sans"/>
          <w:color w:val="auto"/>
          <w:sz w:val="20"/>
          <w:szCs w:val="20"/>
        </w:rPr>
        <w:t xml:space="preserve"> and reducing housing cost burden, instability and homelessness. </w:t>
      </w:r>
    </w:p>
    <w:p w14:paraId="6EFF9C72" w14:textId="3A4FD18F" w:rsidR="0B83488B" w:rsidRDefault="0B83488B" w:rsidP="0B83488B">
      <w:pPr>
        <w:pStyle w:val="BasicParagraph"/>
        <w:rPr>
          <w:rFonts w:ascii="Open Sans" w:hAnsi="Open Sans" w:cs="Open Sans"/>
          <w:color w:val="auto"/>
          <w:sz w:val="20"/>
          <w:szCs w:val="20"/>
        </w:rPr>
      </w:pPr>
    </w:p>
    <w:p w14:paraId="4E6B578B" w14:textId="0BA59FAE" w:rsidR="221DF01E" w:rsidRDefault="221DF01E" w:rsidP="0B83488B">
      <w:pPr>
        <w:pStyle w:val="BasicParagraph"/>
        <w:rPr>
          <w:rFonts w:ascii="Open Sans" w:hAnsi="Open Sans" w:cs="Open Sans"/>
          <w:color w:val="auto"/>
          <w:sz w:val="20"/>
          <w:szCs w:val="20"/>
        </w:rPr>
      </w:pPr>
      <w:r w:rsidRPr="0B83488B">
        <w:rPr>
          <w:rFonts w:ascii="Open Sans" w:hAnsi="Open Sans" w:cs="Open Sans"/>
          <w:color w:val="auto"/>
          <w:sz w:val="20"/>
          <w:szCs w:val="20"/>
        </w:rPr>
        <w:t xml:space="preserve">For more information on LAHA, please click here: </w:t>
      </w:r>
      <w:hyperlink r:id="rId18">
        <w:r w:rsidRPr="0B83488B">
          <w:rPr>
            <w:rStyle w:val="Hyperlink"/>
            <w:rFonts w:ascii="Open Sans" w:hAnsi="Open Sans" w:cs="Open Sans"/>
            <w:color w:val="auto"/>
            <w:sz w:val="20"/>
            <w:szCs w:val="20"/>
          </w:rPr>
          <w:t>Local Affordable Housing Aid | Minnesota Department of Revenue</w:t>
        </w:r>
      </w:hyperlink>
      <w:r w:rsidRPr="0B83488B">
        <w:rPr>
          <w:rFonts w:ascii="Open Sans" w:hAnsi="Open Sans" w:cs="Open Sans"/>
          <w:color w:val="auto"/>
          <w:sz w:val="20"/>
          <w:szCs w:val="20"/>
        </w:rPr>
        <w:t xml:space="preserve"> </w:t>
      </w:r>
    </w:p>
    <w:p w14:paraId="6655D6B3" w14:textId="77777777" w:rsidR="00520FF4" w:rsidRDefault="00520FF4" w:rsidP="00520FF4">
      <w:pPr>
        <w:pStyle w:val="BasicParagraph"/>
        <w:rPr>
          <w:rFonts w:ascii="Open Sans" w:hAnsi="Open Sans" w:cs="Open Sans"/>
          <w:color w:val="auto"/>
          <w:sz w:val="20"/>
          <w:szCs w:val="20"/>
        </w:rPr>
      </w:pPr>
    </w:p>
    <w:p w14:paraId="061A8B77" w14:textId="77777777" w:rsidR="00520FF4" w:rsidRPr="004639EC" w:rsidRDefault="00520FF4" w:rsidP="00520FF4">
      <w:pPr>
        <w:pStyle w:val="BasicParagraph"/>
        <w:rPr>
          <w:rFonts w:ascii="Open Sans" w:hAnsi="Open Sans" w:cs="Open Sans"/>
          <w:b/>
          <w:bCs/>
          <w:color w:val="auto"/>
          <w:sz w:val="20"/>
          <w:szCs w:val="20"/>
        </w:rPr>
      </w:pPr>
      <w:r w:rsidRPr="004639EC">
        <w:rPr>
          <w:rFonts w:ascii="Open Sans" w:hAnsi="Open Sans" w:cs="Open Sans"/>
          <w:b/>
          <w:bCs/>
          <w:color w:val="auto"/>
          <w:sz w:val="20"/>
          <w:szCs w:val="20"/>
        </w:rPr>
        <w:t>How to apply</w:t>
      </w:r>
    </w:p>
    <w:p w14:paraId="43650010" w14:textId="77777777" w:rsidR="00520FF4" w:rsidRDefault="00520FF4" w:rsidP="00520FF4">
      <w:pPr>
        <w:pStyle w:val="BasicParagraph"/>
        <w:rPr>
          <w:rFonts w:ascii="Open Sans" w:hAnsi="Open Sans" w:cs="Open Sans"/>
          <w:color w:val="auto"/>
          <w:sz w:val="20"/>
          <w:szCs w:val="20"/>
        </w:rPr>
      </w:pPr>
    </w:p>
    <w:p w14:paraId="1BBAFD9F" w14:textId="7CB4A864" w:rsidR="009F5FDD" w:rsidRPr="004639EC" w:rsidRDefault="009F5FDD" w:rsidP="009F5FDD">
      <w:pPr>
        <w:pStyle w:val="BasicParagraph"/>
        <w:rPr>
          <w:rFonts w:ascii="Open Sans" w:hAnsi="Open Sans" w:cs="Open Sans"/>
          <w:color w:val="auto"/>
          <w:sz w:val="20"/>
          <w:szCs w:val="20"/>
        </w:rPr>
      </w:pPr>
      <w:r>
        <w:rPr>
          <w:rFonts w:ascii="Open Sans" w:hAnsi="Open Sans" w:cs="Open Sans"/>
          <w:color w:val="auto"/>
          <w:sz w:val="20"/>
          <w:szCs w:val="20"/>
        </w:rPr>
        <w:t>LAHA</w:t>
      </w:r>
      <w:r w:rsidRPr="004639EC">
        <w:rPr>
          <w:rFonts w:ascii="Open Sans" w:hAnsi="Open Sans" w:cs="Open Sans"/>
          <w:color w:val="auto"/>
          <w:sz w:val="20"/>
          <w:szCs w:val="20"/>
        </w:rPr>
        <w:t xml:space="preserve"> funds are awarded per project on an ongoing basis. Please contact the Housing Director for more information on funding availability.</w:t>
      </w:r>
    </w:p>
    <w:p w14:paraId="7A3910E2" w14:textId="77777777" w:rsidR="00520FF4" w:rsidRDefault="00520FF4" w:rsidP="004639EC">
      <w:pPr>
        <w:pStyle w:val="BasicParagraph"/>
        <w:rPr>
          <w:rFonts w:ascii="Verdana" w:hAnsi="Verdana"/>
          <w:color w:val="auto"/>
          <w:sz w:val="18"/>
          <w:szCs w:val="18"/>
        </w:rPr>
      </w:pPr>
    </w:p>
    <w:p w14:paraId="28EE4588" w14:textId="77777777" w:rsidR="00AB7A9E" w:rsidRDefault="00AB7A9E" w:rsidP="004639EC">
      <w:pPr>
        <w:pStyle w:val="BasicParagraph"/>
        <w:rPr>
          <w:rFonts w:ascii="Verdana" w:hAnsi="Verdana"/>
          <w:color w:val="auto"/>
          <w:sz w:val="18"/>
          <w:szCs w:val="18"/>
        </w:rPr>
      </w:pPr>
    </w:p>
    <w:p w14:paraId="67A2F017" w14:textId="77777777" w:rsidR="00AB7A9E" w:rsidRPr="004639EC" w:rsidRDefault="00AB7A9E" w:rsidP="004639EC">
      <w:pPr>
        <w:pStyle w:val="BasicParagraph"/>
        <w:rPr>
          <w:rFonts w:ascii="Verdana" w:hAnsi="Verdana"/>
          <w:color w:val="auto"/>
          <w:sz w:val="18"/>
          <w:szCs w:val="18"/>
        </w:rPr>
      </w:pPr>
    </w:p>
    <w:sectPr w:rsidR="00AB7A9E" w:rsidRPr="004639EC" w:rsidSect="00025FB4">
      <w:footerReference w:type="default" r:id="rId19"/>
      <w:type w:val="continuous"/>
      <w:pgSz w:w="12240" w:h="15840"/>
      <w:pgMar w:top="720" w:right="1152" w:bottom="72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63A9" w14:textId="77777777" w:rsidR="001612C8" w:rsidRDefault="001612C8">
      <w:r>
        <w:separator/>
      </w:r>
    </w:p>
  </w:endnote>
  <w:endnote w:type="continuationSeparator" w:id="0">
    <w:p w14:paraId="5C923439" w14:textId="77777777" w:rsidR="001612C8" w:rsidRDefault="0016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
    <w:panose1 w:val="020B0606030504020204"/>
    <w:charset w:val="00"/>
    <w:family w:val="swiss"/>
    <w:pitch w:val="variable"/>
    <w:sig w:usb0="E00002EF" w:usb1="4000205B" w:usb2="00000028"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ms Rmn 11pt">
    <w:altName w:val="Times New Roman"/>
    <w:charset w:val="00"/>
    <w:family w:val="roman"/>
    <w:pitch w:val="variable"/>
    <w:sig w:usb0="00000003" w:usb1="00000000" w:usb2="00000000" w:usb3="00000000" w:csb0="00000001" w:csb1="00000000"/>
  </w:font>
  <w:font w:name="Red Hat Text">
    <w:altName w:val="﷽﷽﷽﷽﷽﷽﷽﷽Text"/>
    <w:panose1 w:val="02010503040201060303"/>
    <w:charset w:val="00"/>
    <w:family w:val="auto"/>
    <w:pitch w:val="variable"/>
    <w:sig w:usb0="00000007" w:usb1="00000001" w:usb2="00000000" w:usb3="00000000" w:csb0="00000093" w:csb1="00000000"/>
  </w:font>
  <w:font w:name="Red Hat Text Medium">
    <w:altName w:val="﷽﷽﷽﷽﷽﷽﷽﷽Text Medium"/>
    <w:panose1 w:val="02010603030201060303"/>
    <w:charset w:val="4D"/>
    <w:family w:val="auto"/>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DD14" w14:textId="77777777" w:rsidR="00D02351" w:rsidRDefault="00D02351" w:rsidP="00601E90">
    <w:pPr>
      <w:jc w:val="both"/>
    </w:pPr>
  </w:p>
  <w:p w14:paraId="67267A10" w14:textId="47625429" w:rsidR="00D27889" w:rsidRPr="002B537D" w:rsidRDefault="002B537D" w:rsidP="002B537D">
    <w:pPr>
      <w:ind w:left="7920" w:firstLine="720"/>
      <w:jc w:val="center"/>
      <w:rPr>
        <w:rFonts w:ascii="Open Sans" w:hAnsi="Open Sans" w:cs="Open Sans"/>
        <w:i/>
        <w:iCs/>
        <w:sz w:val="18"/>
        <w:szCs w:val="18"/>
      </w:rPr>
    </w:pPr>
    <w:r w:rsidRPr="002B537D">
      <w:rPr>
        <w:rFonts w:ascii="Open Sans" w:hAnsi="Open Sans" w:cs="Open Sans"/>
        <w:i/>
        <w:iCs/>
        <w:sz w:val="18"/>
        <w:szCs w:val="18"/>
      </w:rPr>
      <w:t xml:space="preserve">   </w:t>
    </w:r>
    <w:r w:rsidR="00D02351" w:rsidRPr="002B537D">
      <w:rPr>
        <w:rFonts w:ascii="Open Sans" w:hAnsi="Open Sans" w:cs="Open Sans"/>
        <w:i/>
        <w:iCs/>
        <w:sz w:val="18"/>
        <w:szCs w:val="18"/>
      </w:rPr>
      <w:t>2/2026</w:t>
    </w:r>
  </w:p>
  <w:tbl>
    <w:tblPr>
      <w:tblStyle w:val="TableGrid"/>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270"/>
      <w:gridCol w:w="3270"/>
    </w:tblGrid>
    <w:tr w:rsidR="00D27889" w:rsidRPr="0018194F" w14:paraId="6F8BCD61" w14:textId="77777777" w:rsidTr="0025070E">
      <w:tc>
        <w:tcPr>
          <w:tcW w:w="3360" w:type="dxa"/>
        </w:tcPr>
        <w:p w14:paraId="1FAA75D3" w14:textId="77777777" w:rsidR="00D27889" w:rsidRPr="0018194F" w:rsidRDefault="00D27889" w:rsidP="00D27889">
          <w:pPr>
            <w:pStyle w:val="Header"/>
            <w:rPr>
              <w:rFonts w:ascii="Red Hat Text" w:hAnsi="Red Hat Text" w:cs="Red Hat Text"/>
              <w:b/>
              <w:bCs/>
              <w:caps/>
              <w:color w:val="131D47"/>
              <w:spacing w:val="14"/>
              <w:sz w:val="14"/>
              <w:szCs w:val="14"/>
            </w:rPr>
          </w:pPr>
          <w:r w:rsidRPr="0018194F">
            <w:rPr>
              <w:rFonts w:ascii="Red Hat Text" w:hAnsi="Red Hat Text" w:cs="Red Hat Text"/>
              <w:b/>
              <w:bCs/>
              <w:caps/>
              <w:color w:val="131D47"/>
              <w:spacing w:val="14"/>
              <w:sz w:val="14"/>
              <w:szCs w:val="14"/>
            </w:rPr>
            <w:t>city of saint paul</w:t>
          </w:r>
        </w:p>
        <w:p w14:paraId="6976D6DF" w14:textId="39B5EA3F" w:rsidR="00D27889" w:rsidRPr="0018194F" w:rsidRDefault="00851382" w:rsidP="00D27889">
          <w:pPr>
            <w:pStyle w:val="Header"/>
            <w:rPr>
              <w:rFonts w:ascii="Red Hat Text" w:hAnsi="Red Hat Text" w:cs="Red Hat Text"/>
              <w:b/>
              <w:bCs/>
              <w:caps/>
              <w:color w:val="131D47"/>
              <w:spacing w:val="14"/>
              <w:sz w:val="14"/>
              <w:szCs w:val="14"/>
            </w:rPr>
          </w:pPr>
          <w:r>
            <w:rPr>
              <w:rFonts w:ascii="Red Hat Text" w:hAnsi="Red Hat Text" w:cs="Red Hat Text"/>
              <w:b/>
              <w:bCs/>
              <w:caps/>
              <w:color w:val="131D47"/>
              <w:spacing w:val="14"/>
              <w:sz w:val="14"/>
              <w:szCs w:val="14"/>
            </w:rPr>
            <w:t>Kaohly Her</w:t>
          </w:r>
          <w:r w:rsidR="00D27889" w:rsidRPr="0018194F">
            <w:rPr>
              <w:rFonts w:ascii="Red Hat Text" w:hAnsi="Red Hat Text" w:cs="Red Hat Text"/>
              <w:b/>
              <w:bCs/>
              <w:caps/>
              <w:color w:val="131D47"/>
              <w:spacing w:val="14"/>
              <w:sz w:val="14"/>
              <w:szCs w:val="14"/>
            </w:rPr>
            <w:t>, mayor</w:t>
          </w:r>
        </w:p>
      </w:tc>
      <w:tc>
        <w:tcPr>
          <w:tcW w:w="3270" w:type="dxa"/>
        </w:tcPr>
        <w:p w14:paraId="0F1E2432" w14:textId="77777777" w:rsidR="00D27889" w:rsidRPr="0018194F" w:rsidRDefault="00D27889" w:rsidP="00D27889">
          <w:pPr>
            <w:pStyle w:val="Header"/>
            <w:jc w:val="center"/>
            <w:rPr>
              <w:rFonts w:ascii="Red Hat Text" w:hAnsi="Red Hat Text" w:cs="Red Hat Text"/>
              <w:b/>
              <w:bCs/>
              <w:caps/>
              <w:color w:val="131D47"/>
              <w:spacing w:val="14"/>
              <w:sz w:val="14"/>
              <w:szCs w:val="14"/>
            </w:rPr>
          </w:pPr>
          <w:r w:rsidRPr="0018194F">
            <w:rPr>
              <w:rFonts w:ascii="Red Hat Text" w:hAnsi="Red Hat Text" w:cs="Red Hat Text"/>
              <w:caps/>
              <w:noProof/>
              <w:color w:val="131D47"/>
              <w:spacing w:val="14"/>
              <w:sz w:val="14"/>
              <w:szCs w:val="14"/>
            </w:rPr>
            <w:t xml:space="preserve">AN AFFIRMATIVE ACTION &amp; </w:t>
          </w:r>
          <w:r w:rsidRPr="0018194F">
            <w:rPr>
              <w:rFonts w:ascii="Red Hat Text" w:hAnsi="Red Hat Text" w:cs="Red Hat Text"/>
              <w:caps/>
              <w:noProof/>
              <w:color w:val="131D47"/>
              <w:spacing w:val="14"/>
              <w:sz w:val="14"/>
              <w:szCs w:val="14"/>
            </w:rPr>
            <w:br/>
            <w:t>EQUAL OPPORTUNITY EMPLOYER</w:t>
          </w:r>
        </w:p>
      </w:tc>
      <w:tc>
        <w:tcPr>
          <w:tcW w:w="3270" w:type="dxa"/>
        </w:tcPr>
        <w:p w14:paraId="125F5D52" w14:textId="77777777" w:rsidR="00D27889" w:rsidRPr="0018194F" w:rsidRDefault="00D27889" w:rsidP="00D27889">
          <w:pPr>
            <w:pStyle w:val="Header"/>
            <w:jc w:val="right"/>
            <w:rPr>
              <w:rFonts w:ascii="Red Hat Text" w:hAnsi="Red Hat Text" w:cs="Red Hat Text"/>
              <w:b/>
              <w:bCs/>
              <w:caps/>
              <w:color w:val="131D47"/>
              <w:spacing w:val="14"/>
              <w:sz w:val="14"/>
              <w:szCs w:val="14"/>
            </w:rPr>
          </w:pPr>
          <w:r w:rsidRPr="0018194F">
            <w:rPr>
              <w:rFonts w:ascii="Red Hat Text" w:hAnsi="Red Hat Text" w:cs="Red Hat Text"/>
              <w:b/>
              <w:bCs/>
              <w:caps/>
              <w:color w:val="131D47"/>
              <w:spacing w:val="14"/>
              <w:sz w:val="14"/>
              <w:szCs w:val="14"/>
            </w:rPr>
            <w:t>stpaul.gov</w:t>
          </w:r>
        </w:p>
      </w:tc>
    </w:tr>
    <w:tr w:rsidR="00D27889" w14:paraId="2ED39646" w14:textId="77777777" w:rsidTr="0025070E">
      <w:tc>
        <w:tcPr>
          <w:tcW w:w="6630" w:type="dxa"/>
          <w:gridSpan w:val="2"/>
        </w:tcPr>
        <w:p w14:paraId="61530416" w14:textId="77777777" w:rsidR="00D27889" w:rsidRDefault="00D27889" w:rsidP="00D27889">
          <w:pPr>
            <w:pStyle w:val="BasicParagraph"/>
            <w:rPr>
              <w:rFonts w:ascii="Open Sans" w:hAnsi="Open Sans" w:cs="Open Sans"/>
              <w:b/>
              <w:bCs/>
              <w:color w:val="808080" w:themeColor="background1" w:themeShade="80"/>
              <w:sz w:val="14"/>
              <w:szCs w:val="14"/>
            </w:rPr>
          </w:pPr>
        </w:p>
        <w:p w14:paraId="48D0B7F4" w14:textId="77777777" w:rsidR="00D27889" w:rsidRPr="0042109A" w:rsidRDefault="00D27889" w:rsidP="00D27889">
          <w:pPr>
            <w:pStyle w:val="BasicParagraph"/>
            <w:spacing w:line="240" w:lineRule="auto"/>
            <w:rPr>
              <w:rFonts w:ascii="Open Sans" w:hAnsi="Open Sans" w:cs="Open Sans"/>
              <w:b/>
              <w:bCs/>
              <w:color w:val="808080" w:themeColor="background1" w:themeShade="80"/>
              <w:sz w:val="12"/>
              <w:szCs w:val="12"/>
            </w:rPr>
          </w:pPr>
          <w:r w:rsidRPr="0042109A">
            <w:rPr>
              <w:rFonts w:ascii="Open Sans" w:hAnsi="Open Sans" w:cs="Open Sans"/>
              <w:b/>
              <w:bCs/>
              <w:color w:val="808080" w:themeColor="background1" w:themeShade="80"/>
              <w:sz w:val="12"/>
              <w:szCs w:val="12"/>
            </w:rPr>
            <w:t xml:space="preserve">Need this translated?  Call us at </w:t>
          </w:r>
          <w:r w:rsidRPr="00D27889">
            <w:rPr>
              <w:rFonts w:ascii="Open Sans" w:hAnsi="Open Sans" w:cs="Open Sans"/>
              <w:b/>
              <w:bCs/>
              <w:color w:val="808080" w:themeColor="background1" w:themeShade="80"/>
              <w:sz w:val="12"/>
              <w:szCs w:val="12"/>
            </w:rPr>
            <w:t>651-266-65</w:t>
          </w:r>
          <w:r w:rsidR="006C352C">
            <w:rPr>
              <w:rFonts w:ascii="Open Sans" w:hAnsi="Open Sans" w:cs="Open Sans"/>
              <w:b/>
              <w:bCs/>
              <w:color w:val="808080" w:themeColor="background1" w:themeShade="80"/>
              <w:sz w:val="12"/>
              <w:szCs w:val="12"/>
            </w:rPr>
            <w:t>65</w:t>
          </w:r>
          <w:r w:rsidRPr="0042109A">
            <w:rPr>
              <w:rFonts w:ascii="Open Sans" w:hAnsi="Open Sans" w:cs="Open Sans"/>
              <w:b/>
              <w:bCs/>
              <w:color w:val="808080" w:themeColor="background1" w:themeShade="80"/>
              <w:sz w:val="12"/>
              <w:szCs w:val="12"/>
            </w:rPr>
            <w:br/>
          </w:r>
          <w:r w:rsidRPr="0042109A">
            <w:rPr>
              <w:rFonts w:ascii="Open Sans" w:hAnsi="Open Sans" w:cs="Open Sans"/>
              <w:color w:val="808080" w:themeColor="background1" w:themeShade="80"/>
              <w:sz w:val="12"/>
              <w:szCs w:val="12"/>
            </w:rPr>
            <w:t xml:space="preserve">¿Necesita esta traducción?  Comuníquese con nosotros al </w:t>
          </w:r>
          <w:r w:rsidRPr="00D27889">
            <w:rPr>
              <w:rFonts w:ascii="Open Sans" w:hAnsi="Open Sans" w:cs="Open Sans"/>
              <w:color w:val="808080" w:themeColor="background1" w:themeShade="80"/>
              <w:sz w:val="12"/>
              <w:szCs w:val="12"/>
            </w:rPr>
            <w:t>651-266-65</w:t>
          </w:r>
          <w:r w:rsidR="00B82B0F">
            <w:rPr>
              <w:rFonts w:ascii="Open Sans" w:hAnsi="Open Sans" w:cs="Open Sans"/>
              <w:color w:val="808080" w:themeColor="background1" w:themeShade="80"/>
              <w:sz w:val="12"/>
              <w:szCs w:val="12"/>
            </w:rPr>
            <w:t>65</w:t>
          </w:r>
          <w:r w:rsidRPr="0042109A">
            <w:rPr>
              <w:rFonts w:ascii="Open Sans" w:hAnsi="Open Sans" w:cs="Open Sans"/>
              <w:color w:val="808080" w:themeColor="background1" w:themeShade="80"/>
              <w:sz w:val="12"/>
              <w:szCs w:val="12"/>
            </w:rPr>
            <w:t>.</w:t>
          </w:r>
          <w:r w:rsidRPr="0042109A">
            <w:rPr>
              <w:rFonts w:ascii="Open Sans" w:hAnsi="Open Sans" w:cs="Open Sans"/>
              <w:color w:val="808080" w:themeColor="background1" w:themeShade="80"/>
              <w:sz w:val="12"/>
              <w:szCs w:val="12"/>
            </w:rPr>
            <w:br/>
            <w:t xml:space="preserve">Ma u baahan tahay tarjamadaan Nago soo wac </w:t>
          </w:r>
          <w:r w:rsidRPr="00D27889">
            <w:rPr>
              <w:rFonts w:ascii="Open Sans" w:hAnsi="Open Sans" w:cs="Open Sans"/>
              <w:color w:val="808080" w:themeColor="background1" w:themeShade="80"/>
              <w:sz w:val="12"/>
              <w:szCs w:val="12"/>
            </w:rPr>
            <w:t>651-266-65</w:t>
          </w:r>
          <w:r w:rsidR="00B82B0F">
            <w:rPr>
              <w:rFonts w:ascii="Open Sans" w:hAnsi="Open Sans" w:cs="Open Sans"/>
              <w:color w:val="808080" w:themeColor="background1" w:themeShade="80"/>
              <w:sz w:val="12"/>
              <w:szCs w:val="12"/>
            </w:rPr>
            <w:t>65</w:t>
          </w:r>
          <w:r w:rsidRPr="0042109A">
            <w:rPr>
              <w:rFonts w:ascii="Open Sans" w:hAnsi="Open Sans" w:cs="Open Sans"/>
              <w:color w:val="808080" w:themeColor="background1" w:themeShade="80"/>
              <w:sz w:val="12"/>
              <w:szCs w:val="12"/>
            </w:rPr>
            <w:t>.</w:t>
          </w:r>
        </w:p>
        <w:p w14:paraId="0A2DDE11" w14:textId="77777777" w:rsidR="00D27889" w:rsidRPr="00B73E11" w:rsidRDefault="00D27889" w:rsidP="00D27889">
          <w:pPr>
            <w:pStyle w:val="BasicParagraph"/>
            <w:spacing w:line="240" w:lineRule="auto"/>
            <w:rPr>
              <w:rFonts w:ascii="Open Sans" w:hAnsi="Open Sans" w:cs="Open Sans"/>
              <w:color w:val="808080" w:themeColor="background1" w:themeShade="80"/>
              <w:sz w:val="12"/>
              <w:szCs w:val="12"/>
            </w:rPr>
          </w:pPr>
          <w:r w:rsidRPr="0042109A">
            <w:rPr>
              <w:rFonts w:ascii="Open Sans" w:hAnsi="Open Sans" w:cs="Open Sans"/>
              <w:color w:val="808080" w:themeColor="background1" w:themeShade="80"/>
              <w:sz w:val="12"/>
              <w:szCs w:val="12"/>
            </w:rPr>
            <w:t xml:space="preserve">Xav tau qhov no txhais los?  Hu rau peb ntawm </w:t>
          </w:r>
          <w:r w:rsidRPr="00D27889">
            <w:rPr>
              <w:rFonts w:ascii="Open Sans" w:hAnsi="Open Sans" w:cs="Open Sans"/>
              <w:color w:val="808080" w:themeColor="background1" w:themeShade="80"/>
              <w:sz w:val="12"/>
              <w:szCs w:val="12"/>
            </w:rPr>
            <w:t>651-266-65</w:t>
          </w:r>
          <w:r w:rsidR="00B82B0F">
            <w:rPr>
              <w:rFonts w:ascii="Open Sans" w:hAnsi="Open Sans" w:cs="Open Sans"/>
              <w:color w:val="808080" w:themeColor="background1" w:themeShade="80"/>
              <w:sz w:val="12"/>
              <w:szCs w:val="12"/>
            </w:rPr>
            <w:t>65</w:t>
          </w:r>
          <w:r w:rsidRPr="0042109A">
            <w:rPr>
              <w:rFonts w:ascii="Open Sans" w:hAnsi="Open Sans" w:cs="Open Sans"/>
              <w:color w:val="808080" w:themeColor="background1" w:themeShade="80"/>
              <w:sz w:val="12"/>
              <w:szCs w:val="12"/>
            </w:rPr>
            <w:t>.</w:t>
          </w:r>
        </w:p>
      </w:tc>
      <w:tc>
        <w:tcPr>
          <w:tcW w:w="3270" w:type="dxa"/>
          <w:vAlign w:val="center"/>
        </w:tcPr>
        <w:p w14:paraId="1CACDE29" w14:textId="77777777" w:rsidR="00D27889" w:rsidRDefault="00D27889" w:rsidP="00D27889">
          <w:pPr>
            <w:pStyle w:val="Header"/>
            <w:jc w:val="right"/>
            <w:rPr>
              <w:rFonts w:ascii="Red Hat Text" w:hAnsi="Red Hat Text" w:cs="Red Hat Text"/>
              <w:b/>
              <w:bCs/>
              <w:caps/>
              <w:color w:val="3D69B2"/>
              <w:spacing w:val="14"/>
              <w:sz w:val="14"/>
              <w:szCs w:val="14"/>
            </w:rPr>
          </w:pPr>
        </w:p>
      </w:tc>
    </w:tr>
  </w:tbl>
  <w:p w14:paraId="0638CAEF" w14:textId="77777777" w:rsidR="00483411" w:rsidRPr="00C74980" w:rsidRDefault="00483411" w:rsidP="00D27889">
    <w:pPr>
      <w:rPr>
        <w:color w:val="131D4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DC24" w14:textId="77777777" w:rsidR="009C1582" w:rsidRDefault="009C1582" w:rsidP="004F5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58DF" w14:textId="77777777" w:rsidR="001612C8" w:rsidRDefault="001612C8">
      <w:r>
        <w:separator/>
      </w:r>
    </w:p>
  </w:footnote>
  <w:footnote w:type="continuationSeparator" w:id="0">
    <w:p w14:paraId="7F924299" w14:textId="77777777" w:rsidR="001612C8" w:rsidRDefault="0016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0"/>
      <w:gridCol w:w="5350"/>
    </w:tblGrid>
    <w:tr w:rsidR="00C74980" w:rsidRPr="00C74980" w14:paraId="6FAEC93E" w14:textId="77777777" w:rsidTr="00C74980">
      <w:trPr>
        <w:trHeight w:val="1530"/>
        <w:jc w:val="center"/>
      </w:trPr>
      <w:tc>
        <w:tcPr>
          <w:tcW w:w="4640" w:type="dxa"/>
          <w:tcBorders>
            <w:bottom w:val="single" w:sz="4" w:space="0" w:color="131D47"/>
          </w:tcBorders>
        </w:tcPr>
        <w:p w14:paraId="146D7548" w14:textId="77777777" w:rsidR="00DC318C" w:rsidRPr="00C74980" w:rsidRDefault="00DC318C" w:rsidP="00DC318C">
          <w:pPr>
            <w:pStyle w:val="Header"/>
            <w:rPr>
              <w:color w:val="131D47"/>
            </w:rPr>
          </w:pPr>
          <w:r w:rsidRPr="00C74980">
            <w:rPr>
              <w:noProof/>
              <w:color w:val="131D47"/>
            </w:rPr>
            <w:drawing>
              <wp:inline distT="0" distB="0" distL="0" distR="0" wp14:anchorId="4F5E00CB" wp14:editId="645156AB">
                <wp:extent cx="1733905" cy="76454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a:extLst>
                            <a:ext uri="{28A0092B-C50C-407E-A947-70E740481C1C}">
                              <a14:useLocalDpi xmlns:a14="http://schemas.microsoft.com/office/drawing/2010/main" val="0"/>
                            </a:ext>
                          </a:extLst>
                        </a:blip>
                        <a:srcRect l="5472" r="5472"/>
                        <a:stretch/>
                      </pic:blipFill>
                      <pic:spPr bwMode="auto">
                        <a:xfrm>
                          <a:off x="0" y="0"/>
                          <a:ext cx="1734941" cy="764997"/>
                        </a:xfrm>
                        <a:prstGeom prst="rect">
                          <a:avLst/>
                        </a:prstGeom>
                        <a:ln>
                          <a:noFill/>
                        </a:ln>
                        <a:extLst>
                          <a:ext uri="{53640926-AAD7-44D8-BBD7-CCE9431645EC}">
                            <a14:shadowObscured xmlns:a14="http://schemas.microsoft.com/office/drawing/2010/main"/>
                          </a:ext>
                        </a:extLst>
                      </pic:spPr>
                    </pic:pic>
                  </a:graphicData>
                </a:graphic>
              </wp:inline>
            </w:drawing>
          </w:r>
        </w:p>
      </w:tc>
      <w:tc>
        <w:tcPr>
          <w:tcW w:w="5350" w:type="dxa"/>
          <w:tcBorders>
            <w:bottom w:val="single" w:sz="4" w:space="0" w:color="131D47"/>
          </w:tcBorders>
        </w:tcPr>
        <w:p w14:paraId="4638F737" w14:textId="77777777" w:rsidR="00DC318C" w:rsidRPr="00C74980" w:rsidRDefault="00DC318C" w:rsidP="00DC318C">
          <w:pPr>
            <w:pStyle w:val="BasicParagraph"/>
            <w:suppressAutoHyphens/>
            <w:jc w:val="right"/>
            <w:rPr>
              <w:rFonts w:ascii="Red Hat Text" w:hAnsi="Red Hat Text" w:cs="Red Hat Text"/>
              <w:b/>
              <w:bCs/>
              <w:caps/>
              <w:color w:val="131D47"/>
              <w:spacing w:val="14"/>
              <w:sz w:val="14"/>
              <w:szCs w:val="14"/>
            </w:rPr>
          </w:pPr>
          <w:r w:rsidRPr="00C74980">
            <w:rPr>
              <w:rFonts w:ascii="Red Hat Text" w:hAnsi="Red Hat Text" w:cs="Red Hat Text"/>
              <w:b/>
              <w:bCs/>
              <w:caps/>
              <w:color w:val="131D47"/>
              <w:spacing w:val="14"/>
              <w:sz w:val="14"/>
              <w:szCs w:val="14"/>
            </w:rPr>
            <w:t xml:space="preserve">DEPARTMENT OF </w:t>
          </w:r>
          <w:r w:rsidR="00040A86" w:rsidRPr="00C74980">
            <w:rPr>
              <w:rFonts w:ascii="Red Hat Text" w:hAnsi="Red Hat Text" w:cs="Red Hat Text"/>
              <w:b/>
              <w:bCs/>
              <w:caps/>
              <w:color w:val="131D47"/>
              <w:spacing w:val="14"/>
              <w:sz w:val="14"/>
              <w:szCs w:val="14"/>
            </w:rPr>
            <w:t>PLANNING &amp; ECONOMIC DEVELOPMENT</w:t>
          </w:r>
        </w:p>
        <w:p w14:paraId="1270CB54" w14:textId="77777777" w:rsidR="00DC318C" w:rsidRPr="00C74980" w:rsidRDefault="005D54FE" w:rsidP="00DC318C">
          <w:pPr>
            <w:pStyle w:val="Header"/>
            <w:jc w:val="right"/>
            <w:rPr>
              <w:rFonts w:ascii="Red Hat Text" w:hAnsi="Red Hat Text" w:cs="Red Hat Text"/>
              <w:b/>
              <w:bCs/>
              <w:caps/>
              <w:color w:val="131D47"/>
              <w:spacing w:val="14"/>
              <w:sz w:val="14"/>
              <w:szCs w:val="14"/>
            </w:rPr>
          </w:pPr>
          <w:r>
            <w:rPr>
              <w:rFonts w:ascii="Red Hat Text" w:hAnsi="Red Hat Text" w:cs="Red Hat Text"/>
              <w:b/>
              <w:bCs/>
              <w:caps/>
              <w:color w:val="131D47"/>
              <w:spacing w:val="14"/>
              <w:sz w:val="14"/>
              <w:szCs w:val="14"/>
            </w:rPr>
            <w:t>Melanie McMahon, Interim</w:t>
          </w:r>
          <w:r w:rsidR="00DC318C" w:rsidRPr="00C74980">
            <w:rPr>
              <w:rFonts w:ascii="Red Hat Text" w:hAnsi="Red Hat Text" w:cs="Red Hat Text"/>
              <w:b/>
              <w:bCs/>
              <w:caps/>
              <w:color w:val="131D47"/>
              <w:spacing w:val="14"/>
              <w:sz w:val="14"/>
              <w:szCs w:val="14"/>
            </w:rPr>
            <w:t xml:space="preserve"> DIRECTOR</w:t>
          </w:r>
        </w:p>
        <w:p w14:paraId="0C3520E6" w14:textId="77777777" w:rsidR="00DC318C" w:rsidRPr="00C74980" w:rsidRDefault="00DC318C" w:rsidP="00DC318C">
          <w:pPr>
            <w:pStyle w:val="BasicParagraph"/>
            <w:suppressAutoHyphens/>
            <w:jc w:val="right"/>
            <w:rPr>
              <w:rFonts w:ascii="Red Hat Text Medium" w:hAnsi="Red Hat Text Medium" w:cs="Red Hat Text Medium"/>
              <w:color w:val="131D47"/>
              <w:sz w:val="16"/>
              <w:szCs w:val="16"/>
            </w:rPr>
          </w:pPr>
        </w:p>
        <w:p w14:paraId="6D3BC0B0" w14:textId="77777777" w:rsidR="00BA6E6C" w:rsidRPr="00C74980" w:rsidRDefault="00BA6E6C" w:rsidP="00BA6E6C">
          <w:pPr>
            <w:pStyle w:val="BasicParagraph"/>
            <w:suppressAutoHyphens/>
            <w:jc w:val="right"/>
            <w:rPr>
              <w:rFonts w:ascii="Red Hat Text Medium" w:hAnsi="Red Hat Text Medium" w:cs="Red Hat Text Medium"/>
              <w:color w:val="131D47"/>
              <w:sz w:val="16"/>
              <w:szCs w:val="16"/>
            </w:rPr>
          </w:pPr>
          <w:r w:rsidRPr="00C74980">
            <w:rPr>
              <w:rFonts w:ascii="Red Hat Text Medium" w:hAnsi="Red Hat Text Medium" w:cs="Red Hat Text Medium"/>
              <w:color w:val="131D47"/>
              <w:sz w:val="16"/>
              <w:szCs w:val="16"/>
            </w:rPr>
            <w:t>City Hall Annex</w:t>
          </w:r>
          <w:r w:rsidR="00597C12" w:rsidRPr="00C74980">
            <w:rPr>
              <w:rFonts w:ascii="Red Hat Text Medium" w:hAnsi="Red Hat Text Medium" w:cs="Red Hat Text Medium"/>
              <w:color w:val="131D47"/>
              <w:sz w:val="16"/>
              <w:szCs w:val="16"/>
            </w:rPr>
            <w:t xml:space="preserve">, </w:t>
          </w:r>
          <w:r w:rsidRPr="00C74980">
            <w:rPr>
              <w:rFonts w:ascii="Red Hat Text Medium" w:hAnsi="Red Hat Text Medium" w:cs="Red Hat Text Medium"/>
              <w:color w:val="131D47"/>
              <w:sz w:val="16"/>
              <w:szCs w:val="16"/>
            </w:rPr>
            <w:t>25 West 4th Street, Suite 1300</w:t>
          </w:r>
          <w:r w:rsidRPr="00C74980">
            <w:rPr>
              <w:rFonts w:ascii="Red Hat Text Medium" w:hAnsi="Red Hat Text Medium" w:cs="Red Hat Text Medium"/>
              <w:color w:val="131D47"/>
              <w:sz w:val="16"/>
              <w:szCs w:val="16"/>
            </w:rPr>
            <w:br/>
            <w:t>Saint Paul, MN</w:t>
          </w:r>
          <w:r w:rsidR="007C4B33" w:rsidRPr="00C74980">
            <w:rPr>
              <w:rFonts w:ascii="Red Hat Text Medium" w:hAnsi="Red Hat Text Medium" w:cs="Red Hat Text Medium"/>
              <w:color w:val="131D47"/>
              <w:sz w:val="16"/>
              <w:szCs w:val="16"/>
            </w:rPr>
            <w:t xml:space="preserve"> 55102</w:t>
          </w:r>
          <w:r w:rsidRPr="00C74980">
            <w:rPr>
              <w:rFonts w:ascii="Red Hat Text Medium" w:hAnsi="Red Hat Text Medium" w:cs="Red Hat Text Medium"/>
              <w:color w:val="131D47"/>
              <w:sz w:val="16"/>
              <w:szCs w:val="16"/>
            </w:rPr>
            <w:t xml:space="preserve"> </w:t>
          </w:r>
        </w:p>
        <w:p w14:paraId="285C156D" w14:textId="77777777" w:rsidR="00DC318C" w:rsidRPr="00C74980" w:rsidRDefault="00DC318C" w:rsidP="00BA6E6C">
          <w:pPr>
            <w:pStyle w:val="BasicParagraph"/>
            <w:suppressAutoHyphens/>
            <w:jc w:val="right"/>
            <w:rPr>
              <w:rFonts w:ascii="Red Hat Text Medium" w:hAnsi="Red Hat Text Medium" w:cs="Red Hat Text Medium"/>
              <w:color w:val="131D47"/>
              <w:sz w:val="16"/>
              <w:szCs w:val="16"/>
            </w:rPr>
          </w:pPr>
          <w:r w:rsidRPr="00C74980">
            <w:rPr>
              <w:rFonts w:ascii="Red Hat Text Medium" w:hAnsi="Red Hat Text Medium" w:cs="Red Hat Text Medium"/>
              <w:color w:val="131D47"/>
              <w:sz w:val="16"/>
              <w:szCs w:val="16"/>
            </w:rPr>
            <w:t xml:space="preserve">Tel:  </w:t>
          </w:r>
          <w:r w:rsidR="007C4B33" w:rsidRPr="00C74980">
            <w:rPr>
              <w:rFonts w:ascii="Red Hat Text Medium" w:hAnsi="Red Hat Text Medium" w:cs="Red Hat Text Medium"/>
              <w:color w:val="131D47"/>
              <w:sz w:val="16"/>
              <w:szCs w:val="16"/>
            </w:rPr>
            <w:t>651-266-6565</w:t>
          </w:r>
        </w:p>
      </w:tc>
    </w:tr>
  </w:tbl>
  <w:p w14:paraId="1F6B36C7" w14:textId="77777777" w:rsidR="00C3541A" w:rsidRPr="00C74980" w:rsidRDefault="00C3541A" w:rsidP="00DC318C">
    <w:pPr>
      <w:pStyle w:val="Header"/>
      <w:rPr>
        <w:color w:val="131D4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6848"/>
    <w:multiLevelType w:val="hybridMultilevel"/>
    <w:tmpl w:val="2FFA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4763A"/>
    <w:multiLevelType w:val="hybridMultilevel"/>
    <w:tmpl w:val="9D2A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E5748"/>
    <w:multiLevelType w:val="hybridMultilevel"/>
    <w:tmpl w:val="A15245BE"/>
    <w:lvl w:ilvl="0" w:tplc="F2B2390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927F2"/>
    <w:multiLevelType w:val="hybridMultilevel"/>
    <w:tmpl w:val="358A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66064"/>
    <w:multiLevelType w:val="hybridMultilevel"/>
    <w:tmpl w:val="6A082B06"/>
    <w:lvl w:ilvl="0" w:tplc="82764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B71862"/>
    <w:multiLevelType w:val="hybridMultilevel"/>
    <w:tmpl w:val="8F621DDA"/>
    <w:lvl w:ilvl="0" w:tplc="A91E9736">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128411">
    <w:abstractNumId w:val="4"/>
  </w:num>
  <w:num w:numId="2" w16cid:durableId="957832573">
    <w:abstractNumId w:val="3"/>
  </w:num>
  <w:num w:numId="3" w16cid:durableId="56322460">
    <w:abstractNumId w:val="5"/>
  </w:num>
  <w:num w:numId="4" w16cid:durableId="737050439">
    <w:abstractNumId w:val="1"/>
  </w:num>
  <w:num w:numId="5" w16cid:durableId="897320299">
    <w:abstractNumId w:val="2"/>
  </w:num>
  <w:num w:numId="6" w16cid:durableId="36556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82"/>
    <w:rsid w:val="0000186B"/>
    <w:rsid w:val="00003AFB"/>
    <w:rsid w:val="00012D88"/>
    <w:rsid w:val="00025FB4"/>
    <w:rsid w:val="00035AA8"/>
    <w:rsid w:val="00040A86"/>
    <w:rsid w:val="0004394D"/>
    <w:rsid w:val="0009424C"/>
    <w:rsid w:val="0011465B"/>
    <w:rsid w:val="0014441F"/>
    <w:rsid w:val="001612C8"/>
    <w:rsid w:val="001960E0"/>
    <w:rsid w:val="001C6AC3"/>
    <w:rsid w:val="002107C1"/>
    <w:rsid w:val="002120A7"/>
    <w:rsid w:val="0024385F"/>
    <w:rsid w:val="0025145E"/>
    <w:rsid w:val="00261261"/>
    <w:rsid w:val="00264AB0"/>
    <w:rsid w:val="00267768"/>
    <w:rsid w:val="00277F07"/>
    <w:rsid w:val="00281C09"/>
    <w:rsid w:val="002822E5"/>
    <w:rsid w:val="00291087"/>
    <w:rsid w:val="002A1653"/>
    <w:rsid w:val="002B537D"/>
    <w:rsid w:val="00353A80"/>
    <w:rsid w:val="00374BCC"/>
    <w:rsid w:val="003851DF"/>
    <w:rsid w:val="003961C0"/>
    <w:rsid w:val="003B272A"/>
    <w:rsid w:val="003C0F55"/>
    <w:rsid w:val="004151E4"/>
    <w:rsid w:val="00421839"/>
    <w:rsid w:val="0043231D"/>
    <w:rsid w:val="004639EC"/>
    <w:rsid w:val="00483411"/>
    <w:rsid w:val="004A60E9"/>
    <w:rsid w:val="004D4B1B"/>
    <w:rsid w:val="004F5282"/>
    <w:rsid w:val="00501337"/>
    <w:rsid w:val="00520FF4"/>
    <w:rsid w:val="00550089"/>
    <w:rsid w:val="005769D5"/>
    <w:rsid w:val="00581A62"/>
    <w:rsid w:val="00597C12"/>
    <w:rsid w:val="005D54FE"/>
    <w:rsid w:val="005E545E"/>
    <w:rsid w:val="00601E90"/>
    <w:rsid w:val="00603812"/>
    <w:rsid w:val="00616622"/>
    <w:rsid w:val="006502ED"/>
    <w:rsid w:val="006617BB"/>
    <w:rsid w:val="006B5D03"/>
    <w:rsid w:val="006C352C"/>
    <w:rsid w:val="006C3F61"/>
    <w:rsid w:val="006C41B0"/>
    <w:rsid w:val="006C4A66"/>
    <w:rsid w:val="006E3024"/>
    <w:rsid w:val="006F0596"/>
    <w:rsid w:val="00730E75"/>
    <w:rsid w:val="00735DFB"/>
    <w:rsid w:val="00757C0F"/>
    <w:rsid w:val="00762400"/>
    <w:rsid w:val="00773C25"/>
    <w:rsid w:val="00774CD8"/>
    <w:rsid w:val="007A0477"/>
    <w:rsid w:val="007A6433"/>
    <w:rsid w:val="007C4B33"/>
    <w:rsid w:val="007E0E29"/>
    <w:rsid w:val="008440D5"/>
    <w:rsid w:val="00851382"/>
    <w:rsid w:val="00890E1A"/>
    <w:rsid w:val="00897D97"/>
    <w:rsid w:val="008B34B6"/>
    <w:rsid w:val="008D01C6"/>
    <w:rsid w:val="008D0F58"/>
    <w:rsid w:val="008D38D6"/>
    <w:rsid w:val="008E74FA"/>
    <w:rsid w:val="009245FB"/>
    <w:rsid w:val="009774E6"/>
    <w:rsid w:val="009C1582"/>
    <w:rsid w:val="009D38DB"/>
    <w:rsid w:val="009F5FDD"/>
    <w:rsid w:val="00A044DE"/>
    <w:rsid w:val="00A16994"/>
    <w:rsid w:val="00A304C1"/>
    <w:rsid w:val="00A86933"/>
    <w:rsid w:val="00AB211F"/>
    <w:rsid w:val="00AB7A9E"/>
    <w:rsid w:val="00AC1A14"/>
    <w:rsid w:val="00AE34CB"/>
    <w:rsid w:val="00B7664A"/>
    <w:rsid w:val="00B82B0F"/>
    <w:rsid w:val="00B8513B"/>
    <w:rsid w:val="00B943D1"/>
    <w:rsid w:val="00BA6E6C"/>
    <w:rsid w:val="00BE7956"/>
    <w:rsid w:val="00C137DF"/>
    <w:rsid w:val="00C3541A"/>
    <w:rsid w:val="00C374A0"/>
    <w:rsid w:val="00C51F3D"/>
    <w:rsid w:val="00C6121B"/>
    <w:rsid w:val="00C6172E"/>
    <w:rsid w:val="00C61877"/>
    <w:rsid w:val="00C74980"/>
    <w:rsid w:val="00CD4B14"/>
    <w:rsid w:val="00CD716F"/>
    <w:rsid w:val="00CF3038"/>
    <w:rsid w:val="00D02351"/>
    <w:rsid w:val="00D12089"/>
    <w:rsid w:val="00D27889"/>
    <w:rsid w:val="00D3468D"/>
    <w:rsid w:val="00D54979"/>
    <w:rsid w:val="00D814AD"/>
    <w:rsid w:val="00D90CFF"/>
    <w:rsid w:val="00D9524E"/>
    <w:rsid w:val="00DA7CD4"/>
    <w:rsid w:val="00DC318C"/>
    <w:rsid w:val="00DD7FE9"/>
    <w:rsid w:val="00DF53DD"/>
    <w:rsid w:val="00E1253D"/>
    <w:rsid w:val="00E64226"/>
    <w:rsid w:val="00EA3E10"/>
    <w:rsid w:val="00EF2029"/>
    <w:rsid w:val="00EF384D"/>
    <w:rsid w:val="00F35627"/>
    <w:rsid w:val="00F719D5"/>
    <w:rsid w:val="00F9006A"/>
    <w:rsid w:val="00FB77A2"/>
    <w:rsid w:val="00FF7800"/>
    <w:rsid w:val="0B83488B"/>
    <w:rsid w:val="18CB3B31"/>
    <w:rsid w:val="221DF01E"/>
    <w:rsid w:val="2E837A5C"/>
    <w:rsid w:val="362978C6"/>
    <w:rsid w:val="4C42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43CB8"/>
  <w15:chartTrackingRefBased/>
  <w15:docId w15:val="{CAF09393-E687-4F10-B9F8-876DFBCB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4226"/>
    <w:pPr>
      <w:tabs>
        <w:tab w:val="center" w:pos="4320"/>
        <w:tab w:val="right" w:pos="8640"/>
      </w:tabs>
    </w:pPr>
  </w:style>
  <w:style w:type="paragraph" w:styleId="Footer">
    <w:name w:val="footer"/>
    <w:basedOn w:val="Normal"/>
    <w:rsid w:val="00E64226"/>
    <w:pPr>
      <w:tabs>
        <w:tab w:val="center" w:pos="4320"/>
        <w:tab w:val="right" w:pos="8640"/>
      </w:tabs>
    </w:pPr>
  </w:style>
  <w:style w:type="table" w:styleId="TableGrid">
    <w:name w:val="Table Grid"/>
    <w:basedOn w:val="TableNormal"/>
    <w:rsid w:val="006B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6B5D03"/>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6B5D03"/>
  </w:style>
  <w:style w:type="character" w:customStyle="1" w:styleId="HeaderChar">
    <w:name w:val="Header Char"/>
    <w:basedOn w:val="DefaultParagraphFont"/>
    <w:link w:val="Header"/>
    <w:rsid w:val="00483411"/>
    <w:rPr>
      <w:sz w:val="24"/>
      <w:szCs w:val="24"/>
    </w:rPr>
  </w:style>
  <w:style w:type="paragraph" w:styleId="NormalWeb">
    <w:name w:val="Normal (Web)"/>
    <w:basedOn w:val="Normal"/>
    <w:rsid w:val="004639EC"/>
  </w:style>
  <w:style w:type="character" w:styleId="Hyperlink">
    <w:name w:val="Hyperlink"/>
    <w:basedOn w:val="DefaultParagraphFont"/>
    <w:rsid w:val="004639EC"/>
    <w:rPr>
      <w:color w:val="0563C1" w:themeColor="hyperlink"/>
      <w:u w:val="single"/>
    </w:rPr>
  </w:style>
  <w:style w:type="character" w:styleId="UnresolvedMention">
    <w:name w:val="Unresolved Mention"/>
    <w:basedOn w:val="DefaultParagraphFont"/>
    <w:uiPriority w:val="99"/>
    <w:semiHidden/>
    <w:unhideWhenUsed/>
    <w:rsid w:val="00463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7141">
      <w:bodyDiv w:val="1"/>
      <w:marLeft w:val="0"/>
      <w:marRight w:val="0"/>
      <w:marTop w:val="0"/>
      <w:marBottom w:val="0"/>
      <w:divBdr>
        <w:top w:val="none" w:sz="0" w:space="0" w:color="auto"/>
        <w:left w:val="none" w:sz="0" w:space="0" w:color="auto"/>
        <w:bottom w:val="none" w:sz="0" w:space="0" w:color="auto"/>
        <w:right w:val="none" w:sz="0" w:space="0" w:color="auto"/>
      </w:divBdr>
    </w:div>
    <w:div w:id="341471510">
      <w:bodyDiv w:val="1"/>
      <w:marLeft w:val="0"/>
      <w:marRight w:val="0"/>
      <w:marTop w:val="0"/>
      <w:marBottom w:val="0"/>
      <w:divBdr>
        <w:top w:val="none" w:sz="0" w:space="0" w:color="auto"/>
        <w:left w:val="none" w:sz="0" w:space="0" w:color="auto"/>
        <w:bottom w:val="none" w:sz="0" w:space="0" w:color="auto"/>
        <w:right w:val="none" w:sz="0" w:space="0" w:color="auto"/>
      </w:divBdr>
    </w:div>
    <w:div w:id="355926407">
      <w:bodyDiv w:val="1"/>
      <w:marLeft w:val="0"/>
      <w:marRight w:val="0"/>
      <w:marTop w:val="0"/>
      <w:marBottom w:val="0"/>
      <w:divBdr>
        <w:top w:val="none" w:sz="0" w:space="0" w:color="auto"/>
        <w:left w:val="none" w:sz="0" w:space="0" w:color="auto"/>
        <w:bottom w:val="none" w:sz="0" w:space="0" w:color="auto"/>
        <w:right w:val="none" w:sz="0" w:space="0" w:color="auto"/>
      </w:divBdr>
      <w:divsChild>
        <w:div w:id="1803765827">
          <w:marLeft w:val="0"/>
          <w:marRight w:val="-2400"/>
          <w:marTop w:val="0"/>
          <w:marBottom w:val="0"/>
          <w:divBdr>
            <w:top w:val="none" w:sz="0" w:space="0" w:color="auto"/>
            <w:left w:val="none" w:sz="0" w:space="0" w:color="auto"/>
            <w:bottom w:val="none" w:sz="0" w:space="0" w:color="auto"/>
            <w:right w:val="none" w:sz="0" w:space="0" w:color="auto"/>
          </w:divBdr>
          <w:divsChild>
            <w:div w:id="422184109">
              <w:marLeft w:val="0"/>
              <w:marRight w:val="0"/>
              <w:marTop w:val="0"/>
              <w:marBottom w:val="0"/>
              <w:divBdr>
                <w:top w:val="none" w:sz="0" w:space="0" w:color="auto"/>
                <w:left w:val="none" w:sz="0" w:space="0" w:color="auto"/>
                <w:bottom w:val="none" w:sz="0" w:space="0" w:color="auto"/>
                <w:right w:val="none" w:sz="0" w:space="0" w:color="auto"/>
              </w:divBdr>
              <w:divsChild>
                <w:div w:id="15608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3869">
          <w:marLeft w:val="432"/>
          <w:marRight w:val="432"/>
          <w:marTop w:val="150"/>
          <w:marBottom w:val="150"/>
          <w:divBdr>
            <w:top w:val="none" w:sz="0" w:space="0" w:color="auto"/>
            <w:left w:val="none" w:sz="0" w:space="0" w:color="auto"/>
            <w:bottom w:val="none" w:sz="0" w:space="0" w:color="auto"/>
            <w:right w:val="none" w:sz="0" w:space="0" w:color="auto"/>
          </w:divBdr>
        </w:div>
      </w:divsChild>
    </w:div>
    <w:div w:id="363211752">
      <w:bodyDiv w:val="1"/>
      <w:marLeft w:val="0"/>
      <w:marRight w:val="0"/>
      <w:marTop w:val="0"/>
      <w:marBottom w:val="0"/>
      <w:divBdr>
        <w:top w:val="none" w:sz="0" w:space="0" w:color="auto"/>
        <w:left w:val="none" w:sz="0" w:space="0" w:color="auto"/>
        <w:bottom w:val="none" w:sz="0" w:space="0" w:color="auto"/>
        <w:right w:val="none" w:sz="0" w:space="0" w:color="auto"/>
      </w:divBdr>
    </w:div>
    <w:div w:id="432092078">
      <w:bodyDiv w:val="1"/>
      <w:marLeft w:val="0"/>
      <w:marRight w:val="0"/>
      <w:marTop w:val="0"/>
      <w:marBottom w:val="0"/>
      <w:divBdr>
        <w:top w:val="none" w:sz="0" w:space="0" w:color="auto"/>
        <w:left w:val="none" w:sz="0" w:space="0" w:color="auto"/>
        <w:bottom w:val="none" w:sz="0" w:space="0" w:color="auto"/>
        <w:right w:val="none" w:sz="0" w:space="0" w:color="auto"/>
      </w:divBdr>
    </w:div>
    <w:div w:id="435445768">
      <w:bodyDiv w:val="1"/>
      <w:marLeft w:val="0"/>
      <w:marRight w:val="0"/>
      <w:marTop w:val="0"/>
      <w:marBottom w:val="0"/>
      <w:divBdr>
        <w:top w:val="none" w:sz="0" w:space="0" w:color="auto"/>
        <w:left w:val="none" w:sz="0" w:space="0" w:color="auto"/>
        <w:bottom w:val="none" w:sz="0" w:space="0" w:color="auto"/>
        <w:right w:val="none" w:sz="0" w:space="0" w:color="auto"/>
      </w:divBdr>
    </w:div>
    <w:div w:id="492261164">
      <w:bodyDiv w:val="1"/>
      <w:marLeft w:val="0"/>
      <w:marRight w:val="0"/>
      <w:marTop w:val="0"/>
      <w:marBottom w:val="0"/>
      <w:divBdr>
        <w:top w:val="none" w:sz="0" w:space="0" w:color="auto"/>
        <w:left w:val="none" w:sz="0" w:space="0" w:color="auto"/>
        <w:bottom w:val="none" w:sz="0" w:space="0" w:color="auto"/>
        <w:right w:val="none" w:sz="0" w:space="0" w:color="auto"/>
      </w:divBdr>
    </w:div>
    <w:div w:id="687680298">
      <w:bodyDiv w:val="1"/>
      <w:marLeft w:val="0"/>
      <w:marRight w:val="0"/>
      <w:marTop w:val="0"/>
      <w:marBottom w:val="0"/>
      <w:divBdr>
        <w:top w:val="none" w:sz="0" w:space="0" w:color="auto"/>
        <w:left w:val="none" w:sz="0" w:space="0" w:color="auto"/>
        <w:bottom w:val="none" w:sz="0" w:space="0" w:color="auto"/>
        <w:right w:val="none" w:sz="0" w:space="0" w:color="auto"/>
      </w:divBdr>
    </w:div>
    <w:div w:id="849761795">
      <w:bodyDiv w:val="1"/>
      <w:marLeft w:val="0"/>
      <w:marRight w:val="0"/>
      <w:marTop w:val="0"/>
      <w:marBottom w:val="0"/>
      <w:divBdr>
        <w:top w:val="none" w:sz="0" w:space="0" w:color="auto"/>
        <w:left w:val="none" w:sz="0" w:space="0" w:color="auto"/>
        <w:bottom w:val="none" w:sz="0" w:space="0" w:color="auto"/>
        <w:right w:val="none" w:sz="0" w:space="0" w:color="auto"/>
      </w:divBdr>
    </w:div>
    <w:div w:id="1158620623">
      <w:bodyDiv w:val="1"/>
      <w:marLeft w:val="0"/>
      <w:marRight w:val="0"/>
      <w:marTop w:val="0"/>
      <w:marBottom w:val="0"/>
      <w:divBdr>
        <w:top w:val="none" w:sz="0" w:space="0" w:color="auto"/>
        <w:left w:val="none" w:sz="0" w:space="0" w:color="auto"/>
        <w:bottom w:val="none" w:sz="0" w:space="0" w:color="auto"/>
        <w:right w:val="none" w:sz="0" w:space="0" w:color="auto"/>
      </w:divBdr>
    </w:div>
    <w:div w:id="1360667494">
      <w:bodyDiv w:val="1"/>
      <w:marLeft w:val="0"/>
      <w:marRight w:val="0"/>
      <w:marTop w:val="0"/>
      <w:marBottom w:val="0"/>
      <w:divBdr>
        <w:top w:val="none" w:sz="0" w:space="0" w:color="auto"/>
        <w:left w:val="none" w:sz="0" w:space="0" w:color="auto"/>
        <w:bottom w:val="none" w:sz="0" w:space="0" w:color="auto"/>
        <w:right w:val="none" w:sz="0" w:space="0" w:color="auto"/>
      </w:divBdr>
    </w:div>
    <w:div w:id="1367679718">
      <w:bodyDiv w:val="1"/>
      <w:marLeft w:val="0"/>
      <w:marRight w:val="0"/>
      <w:marTop w:val="0"/>
      <w:marBottom w:val="0"/>
      <w:divBdr>
        <w:top w:val="none" w:sz="0" w:space="0" w:color="auto"/>
        <w:left w:val="none" w:sz="0" w:space="0" w:color="auto"/>
        <w:bottom w:val="none" w:sz="0" w:space="0" w:color="auto"/>
        <w:right w:val="none" w:sz="0" w:space="0" w:color="auto"/>
      </w:divBdr>
    </w:div>
    <w:div w:id="1451242983">
      <w:bodyDiv w:val="1"/>
      <w:marLeft w:val="0"/>
      <w:marRight w:val="0"/>
      <w:marTop w:val="0"/>
      <w:marBottom w:val="0"/>
      <w:divBdr>
        <w:top w:val="none" w:sz="0" w:space="0" w:color="auto"/>
        <w:left w:val="none" w:sz="0" w:space="0" w:color="auto"/>
        <w:bottom w:val="none" w:sz="0" w:space="0" w:color="auto"/>
        <w:right w:val="none" w:sz="0" w:space="0" w:color="auto"/>
      </w:divBdr>
    </w:div>
    <w:div w:id="189931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paul.gov/departments/planning-and-economic-development/housing/low-income-housing-tax-credits" TargetMode="External"/><Relationship Id="rId18" Type="http://schemas.openxmlformats.org/officeDocument/2006/relationships/hyperlink" Target="https://www.revenue.state.mn.us/local-affordable-housing-ai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ud.gov/hud-partners/community-cdbg" TargetMode="External"/><Relationship Id="rId2" Type="http://schemas.openxmlformats.org/officeDocument/2006/relationships/customXml" Target="../customXml/item2.xml"/><Relationship Id="rId16" Type="http://schemas.openxmlformats.org/officeDocument/2006/relationships/hyperlink" Target="https://www.stpaul.gov/departments/planning-and-economic-development/planning/consolidated-pl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udexchange.info/programs/hom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paul.gov/departments/planning-and-economic-development/planning/consolidated-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rn\Downloads\StPaul-PED-Letterhead-Blue-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8" ma:contentTypeDescription="Create a new document." ma:contentTypeScope="" ma:versionID="5b1a0b97061a01a87310f85213090745">
  <xsd:schema xmlns:xsd="http://www.w3.org/2001/XMLSchema" xmlns:xs="http://www.w3.org/2001/XMLSchema" xmlns:p="http://schemas.microsoft.com/office/2006/metadata/properties" xmlns:ns2="926a17e6-f857-4f36-a0cf-6aeb21230cdf" xmlns:ns3="ca1c673c-5ca3-4a05-9f09-f15bea49d2c4" targetNamespace="http://schemas.microsoft.com/office/2006/metadata/properties" ma:root="true" ma:fieldsID="6723d8fcf6a3a52d2bc000e3a9adcb36" ns2:_="" ns3:_="">
    <xsd:import namespace="926a17e6-f857-4f36-a0cf-6aeb21230cdf"/>
    <xsd:import namespace="ca1c673c-5ca3-4a05-9f09-f15bea49d2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FilePath" minOccurs="0"/>
                <xsd:element ref="ns2:Hyperlink"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ilePath" ma:index="18" nillable="true" ma:displayName="File 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6f18ad-b21e-4078-8723-a699eed812f2}"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926a17e6-f857-4f36-a0cf-6aeb21230cdf" xsi:nil="true"/>
    <SharedWithUsers xmlns="ca1c673c-5ca3-4a05-9f09-f15bea49d2c4">
      <UserInfo>
        <DisplayName/>
        <AccountId xsi:nil="true"/>
        <AccountType/>
      </UserInfo>
    </SharedWithUsers>
    <lcf76f155ced4ddcb4097134ff3c332f xmlns="926a17e6-f857-4f36-a0cf-6aeb21230cdf">
      <Terms xmlns="http://schemas.microsoft.com/office/infopath/2007/PartnerControls"/>
    </lcf76f155ced4ddcb4097134ff3c332f>
    <TaxCatchAll xmlns="ca1c673c-5ca3-4a05-9f09-f15bea49d2c4" xsi:nil="true"/>
    <FilePath xmlns="926a17e6-f857-4f36-a0cf-6aeb21230cdf">
      <Url xsi:nil="true"/>
      <Description xsi:nil="true"/>
    </FilePath>
    <Hyperlink xmlns="926a17e6-f857-4f36-a0cf-6aeb21230cdf">
      <Url xsi:nil="true"/>
      <Description xsi:nil="true"/>
    </Hyperlink>
  </documentManagement>
</p:properties>
</file>

<file path=customXml/itemProps1.xml><?xml version="1.0" encoding="utf-8"?>
<ds:datastoreItem xmlns:ds="http://schemas.openxmlformats.org/officeDocument/2006/customXml" ds:itemID="{15962B2D-7D07-43DD-B857-4B654821D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a17e6-f857-4f36-a0cf-6aeb21230cdf"/>
    <ds:schemaRef ds:uri="ca1c673c-5ca3-4a05-9f09-f15bea49d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21D71-EF24-45E2-A03D-E69E98DEB613}">
  <ds:schemaRefs>
    <ds:schemaRef ds:uri="http://schemas.microsoft.com/sharepoint/v3/contenttype/forms"/>
  </ds:schemaRefs>
</ds:datastoreItem>
</file>

<file path=customXml/itemProps3.xml><?xml version="1.0" encoding="utf-8"?>
<ds:datastoreItem xmlns:ds="http://schemas.openxmlformats.org/officeDocument/2006/customXml" ds:itemID="{26B32E56-B8F9-4FAB-97C8-EE0CAC58C660}">
  <ds:schemaRefs>
    <ds:schemaRef ds:uri="http://schemas.microsoft.com/office/2006/metadata/longProperties"/>
  </ds:schemaRefs>
</ds:datastoreItem>
</file>

<file path=customXml/itemProps4.xml><?xml version="1.0" encoding="utf-8"?>
<ds:datastoreItem xmlns:ds="http://schemas.openxmlformats.org/officeDocument/2006/customXml" ds:itemID="{F6856E6D-2C27-4565-8DBD-A056A3DB93EF}">
  <ds:schemaRefs>
    <ds:schemaRef ds:uri="http://schemas.microsoft.com/office/2006/metadata/properties"/>
    <ds:schemaRef ds:uri="http://schemas.microsoft.com/office/infopath/2007/PartnerControls"/>
    <ds:schemaRef ds:uri="926a17e6-f857-4f36-a0cf-6aeb21230cdf"/>
    <ds:schemaRef ds:uri="ca1c673c-5ca3-4a05-9f09-f15bea49d2c4"/>
  </ds:schemaRefs>
</ds:datastoreItem>
</file>

<file path=docProps/app.xml><?xml version="1.0" encoding="utf-8"?>
<Properties xmlns="http://schemas.openxmlformats.org/officeDocument/2006/extended-properties" xmlns:vt="http://schemas.openxmlformats.org/officeDocument/2006/docPropsVTypes">
  <Template>StPaul-PED-Letterhead-Blue-2024</Template>
  <TotalTime>285</TotalTime>
  <Pages>4</Pages>
  <Words>1187</Words>
  <Characters>6772</Characters>
  <Application>Microsoft Office Word</Application>
  <DocSecurity>0</DocSecurity>
  <Lines>56</Lines>
  <Paragraphs>15</Paragraphs>
  <ScaleCrop>false</ScaleCrop>
  <Company>City of Saint Paul</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Coons</dc:creator>
  <cp:keywords/>
  <dc:description/>
  <cp:lastModifiedBy>Sarah Zorn</cp:lastModifiedBy>
  <cp:revision>11</cp:revision>
  <cp:lastPrinted>2008-01-14T16:38:00Z</cp:lastPrinted>
  <dcterms:created xsi:type="dcterms:W3CDTF">2026-02-12T16:41:00Z</dcterms:created>
  <dcterms:modified xsi:type="dcterms:W3CDTF">2026-02-24T18:54:00Z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Greene Guentzel, Amanda (CI-StPaul)</vt:lpwstr>
  </property>
  <property fmtid="{D5CDD505-2E9C-101B-9397-08002B2CF9AE}" pid="3" name="SharedWithUsers">
    <vt:lpwstr>69;#Greene Guentzel, Amanda (CI-StPaul)</vt:lpwstr>
  </property>
  <property fmtid="{D5CDD505-2E9C-101B-9397-08002B2CF9AE}" pid="4" name="xd_Signature">
    <vt:lpwstr/>
  </property>
  <property fmtid="{D5CDD505-2E9C-101B-9397-08002B2CF9AE}" pid="5" name="display_urn:schemas-microsoft-com:office:office#Editor">
    <vt:lpwstr>Joshua Wiederin</vt:lpwstr>
  </property>
  <property fmtid="{D5CDD505-2E9C-101B-9397-08002B2CF9AE}" pid="6" name="Order">
    <vt:lpwstr>407500.000000000</vt:lpwstr>
  </property>
  <property fmtid="{D5CDD505-2E9C-101B-9397-08002B2CF9AE}" pid="7" name="ComplianceAssetId">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Joshua Wiederin</vt:lpwstr>
  </property>
  <property fmtid="{D5CDD505-2E9C-101B-9397-08002B2CF9AE}" pid="11" name="MediaServiceImageTags">
    <vt:lpwstr/>
  </property>
  <property fmtid="{D5CDD505-2E9C-101B-9397-08002B2CF9AE}" pid="12" name="ContentTypeId">
    <vt:lpwstr>0x010100E7ADAC655166BF46BDE64D2955422826</vt:lpwstr>
  </property>
  <property fmtid="{D5CDD505-2E9C-101B-9397-08002B2CF9AE}" pid="13" name="_ExtendedDescription">
    <vt:lpwstr/>
  </property>
  <property fmtid="{D5CDD505-2E9C-101B-9397-08002B2CF9AE}" pid="14" name="TriggerFlowInfo">
    <vt:lpwstr/>
  </property>
</Properties>
</file>